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EEECE1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</w:rPr>
        <w:t>SEKCJA 1: Identyfikacja substancji/mieszaniny i identyfikacja spółki / przedsiębiorstwa</w:t>
      </w:r>
    </w:p>
    <w:p>
      <w:pPr>
        <w:pStyle w:val="NoSpacing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Spacing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1.1 Identyfikator produktu:</w:t>
      </w:r>
      <w:r>
        <w:rPr>
          <w:b/>
          <w:sz w:val="20"/>
          <w:szCs w:val="20"/>
        </w:rPr>
        <w:tab/>
        <w:tab/>
      </w:r>
      <w:r>
        <w:rPr>
          <w:rFonts w:cs="Arial" w:ascii="Arial" w:hAnsi="Arial"/>
        </w:rPr>
        <w:t>SILKONOWY IMPREGNAT DO KOSTKI BRUKOWEJ</w:t>
      </w:r>
    </w:p>
    <w:p>
      <w:pPr>
        <w:pStyle w:val="NoSpacing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Spacing"/>
        <w:ind w:left="3540" w:hanging="35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1.2 Istotne zidentyfikowane zastosowania substancji lub mieszaniny oraz zastosowania odradzane</w:t>
      </w:r>
      <w:r>
        <w:rPr>
          <w:rFonts w:cs="Arial" w:ascii="Arial" w:hAnsi="Arial"/>
          <w:b/>
          <w:sz w:val="20"/>
          <w:szCs w:val="20"/>
        </w:rPr>
        <w:t>:</w:t>
      </w:r>
    </w:p>
    <w:p>
      <w:pPr>
        <w:pStyle w:val="NoSpacing"/>
        <w:ind w:left="3540" w:hanging="35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Spacing"/>
        <w:ind w:left="3540" w:hanging="35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Zastosowanie zidentyfikowane:</w:t>
      </w:r>
      <w:r>
        <w:rPr>
          <w:rFonts w:cs="Arial" w:ascii="Arial" w:hAnsi="Arial"/>
          <w:sz w:val="20"/>
          <w:szCs w:val="20"/>
        </w:rPr>
        <w:tab/>
        <w:t>impregnat do kostki brukowej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Zastosowanie odradzane:</w:t>
        <w:tab/>
        <w:tab/>
        <w:t>nie określono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1.3 Dane dotyczące dostawcy karty charakterystyki:</w:t>
      </w:r>
    </w:p>
    <w:p>
      <w:pPr>
        <w:pStyle w:val="NoSpacing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ind w:firstLine="708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Producent: CHEMAX ROBERT BIELAK</w:t>
      </w:r>
    </w:p>
    <w:p>
      <w:pPr>
        <w:pStyle w:val="Normal"/>
        <w:ind w:left="0" w:right="0" w:firstLine="708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ab/>
        <w:t xml:space="preserve">        ul. Turystyczna 13, 20-207 Lublin</w:t>
      </w:r>
    </w:p>
    <w:p>
      <w:pPr>
        <w:pStyle w:val="Normal"/>
        <w:ind w:left="0" w:right="0" w:firstLine="708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ab/>
        <w:t xml:space="preserve">        NIP: 712-125-86-99</w:t>
      </w:r>
    </w:p>
    <w:p>
      <w:pPr>
        <w:pStyle w:val="Normal"/>
        <w:ind w:firstLine="708"/>
        <w:jc w:val="both"/>
        <w:rPr>
          <w:rFonts w:ascii="Arial" w:hAnsi="Arial" w:cs="Arial"/>
          <w:b/>
          <w:b/>
          <w:sz w:val="20"/>
          <w:szCs w:val="20"/>
        </w:rPr>
      </w:pPr>
      <w:r>
        <w:rPr/>
      </w:r>
    </w:p>
    <w:p>
      <w:pPr>
        <w:pStyle w:val="Normal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Dystrybutor:</w:t>
        <w:tab/>
        <w:tab/>
        <w:tab/>
        <w:tab/>
      </w:r>
      <w:r>
        <w:rPr>
          <w:rFonts w:cs="Arial" w:ascii="Arial" w:hAnsi="Arial"/>
          <w:sz w:val="20"/>
          <w:szCs w:val="20"/>
        </w:rPr>
        <w:t xml:space="preserve">Konsorcjum Handlowe Stofarb S.A. </w:t>
      </w:r>
    </w:p>
    <w:p>
      <w:pPr>
        <w:pStyle w:val="Normal"/>
        <w:ind w:left="3540"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z siedzibą 41-500 Chorzów ul. Gościnna 1 </w:t>
      </w:r>
    </w:p>
    <w:p>
      <w:pPr>
        <w:pStyle w:val="Normal"/>
        <w:ind w:left="3540" w:firstLine="70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NIP 627-23-38-259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Adres e-mail osoby odpowiedzialnej za kartę charakterystyki: 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ind w:left="3540" w:hanging="3540"/>
        <w:rPr>
          <w:rFonts w:ascii="Arial" w:hAnsi="Arial" w:cs="Arial"/>
          <w:b/>
          <w:b/>
          <w:sz w:val="20"/>
          <w:szCs w:val="20"/>
          <w:lang w:val="sk-SK"/>
        </w:rPr>
      </w:pPr>
      <w:r>
        <w:rPr>
          <w:rFonts w:cs="Arial" w:ascii="Arial" w:hAnsi="Arial"/>
          <w:b/>
          <w:sz w:val="20"/>
          <w:szCs w:val="20"/>
        </w:rPr>
        <w:t>1.4 Numer telefonu alarmowego:</w:t>
      </w:r>
      <w:r>
        <w:rPr>
          <w:rFonts w:cs="Arial" w:ascii="Arial" w:hAnsi="Arial"/>
          <w:sz w:val="20"/>
          <w:szCs w:val="20"/>
          <w:lang w:val="sk-SK"/>
        </w:rPr>
        <w:t xml:space="preserve"> </w:t>
      </w:r>
      <w:r>
        <w:rPr>
          <w:rFonts w:cs="Arial" w:ascii="Arial" w:hAnsi="Arial"/>
          <w:sz w:val="20"/>
          <w:szCs w:val="20"/>
        </w:rPr>
        <w:t>112 (ogólny telefon alarmowy), 998 (straż pożarna), 999 (pogotowie medyczne).</w:t>
      </w:r>
    </w:p>
    <w:p>
      <w:pPr>
        <w:pStyle w:val="NoSpacing"/>
        <w:ind w:left="3540" w:hanging="3540"/>
        <w:rPr>
          <w:rFonts w:ascii="Arial" w:hAnsi="Arial" w:cs="Arial"/>
          <w:b/>
          <w:b/>
          <w:sz w:val="20"/>
          <w:szCs w:val="20"/>
          <w:lang w:val="sk-SK"/>
        </w:rPr>
      </w:pPr>
      <w:r>
        <w:rPr>
          <w:rFonts w:cs="Arial" w:ascii="Arial" w:hAnsi="Arial"/>
          <w:b/>
          <w:sz w:val="20"/>
          <w:szCs w:val="20"/>
          <w:lang w:val="sk-SK"/>
        </w:rPr>
      </w:r>
    </w:p>
    <w:p>
      <w:pPr>
        <w:pStyle w:val="CM4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EEECE1"/>
        <w:spacing w:before="60" w:after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2"/>
          <w:szCs w:val="22"/>
        </w:rPr>
        <w:t xml:space="preserve">SEKCJA 2: Identyfikacja zagrożeń </w:t>
      </w:r>
    </w:p>
    <w:p>
      <w:pPr>
        <w:pStyle w:val="NoSpacing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2.1 Klasyfikacja substancji lub mieszaniny</w:t>
      </w:r>
    </w:p>
    <w:p>
      <w:pPr>
        <w:pStyle w:val="NoSpacing"/>
        <w:tabs>
          <w:tab w:val="left" w:pos="5880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tabs>
          <w:tab w:val="left" w:pos="5880" w:leader="none"/>
        </w:tabs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sz w:val="20"/>
          <w:szCs w:val="20"/>
          <w:u w:val="single"/>
        </w:rPr>
        <w:t>Wg rozporządzenia 1272/2008: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 xml:space="preserve">Mieszanina nie sklasyfikowana jako niebezpieczna. </w:t>
      </w:r>
    </w:p>
    <w:p>
      <w:pPr>
        <w:pStyle w:val="NoSpacing"/>
        <w:tabs>
          <w:tab w:val="left" w:pos="5880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tabs>
          <w:tab w:val="left" w:pos="5880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Zagrożenie dla zdrowia człowieka</w:t>
      </w:r>
    </w:p>
    <w:p>
      <w:pPr>
        <w:pStyle w:val="NoSpacing"/>
        <w:spacing w:lineRule="auto" w:line="276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We właściwym stosowaniu nie stwarza zagrożenia dla zdrowia i życia ludzi. 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Zagrożenie dla środowiska</w:t>
      </w:r>
    </w:p>
    <w:p>
      <w:pPr>
        <w:pStyle w:val="NoSpacing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Mieszanina nie sklasyfikowana jako niebezpieczny dla środowiska, zawiera składniki niebezpieczne dla środowiska.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Zagrożenia fizyczne/chemiczne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We właściwym stosowaniu nie stwarza dodatkowych zagrożeń fizycznych i chemicznych.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2.2 Elementy oznakowania:</w:t>
      </w:r>
    </w:p>
    <w:p>
      <w:pPr>
        <w:pStyle w:val="NoSpacing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 xml:space="preserve">Piktogramy </w:t>
      </w:r>
    </w:p>
    <w:p>
      <w:pPr>
        <w:pStyle w:val="NoSpacing"/>
        <w:spacing w:lineRule="auto" w:line="276"/>
        <w:jc w:val="both"/>
        <w:rPr>
          <w:rFonts w:ascii="Arial" w:hAnsi="Arial" w:cs="Arial"/>
          <w:b/>
          <w:b/>
          <w:sz w:val="20"/>
          <w:szCs w:val="20"/>
          <w:lang w:val="pl-PL"/>
        </w:rPr>
      </w:pPr>
      <w:r>
        <w:rPr>
          <w:rFonts w:cs="Arial" w:ascii="Arial" w:hAnsi="Arial"/>
          <w:sz w:val="20"/>
          <w:szCs w:val="20"/>
        </w:rPr>
        <w:t xml:space="preserve">Brak. </w:t>
      </w:r>
    </w:p>
    <w:p>
      <w:pPr>
        <w:pStyle w:val="NoSpacing"/>
        <w:spacing w:lineRule="auto" w:line="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  <w:lang w:val="pl-PL"/>
        </w:rPr>
        <w:t xml:space="preserve">Hasło ostrzegawcze: </w:t>
      </w:r>
    </w:p>
    <w:p>
      <w:pPr>
        <w:pStyle w:val="NoSpacing"/>
        <w:spacing w:lineRule="auto" w:line="276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Brak. </w:t>
      </w:r>
    </w:p>
    <w:p>
      <w:pPr>
        <w:pStyle w:val="NoSpacing"/>
        <w:spacing w:lineRule="auto" w:line="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Zwroty wskazujące rodzaj zagrożenia:</w:t>
      </w:r>
    </w:p>
    <w:p>
      <w:pPr>
        <w:pStyle w:val="NoSpacing"/>
        <w:spacing w:lineRule="auto" w:line="276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Brak. </w:t>
      </w:r>
    </w:p>
    <w:p>
      <w:pPr>
        <w:pStyle w:val="NoSpacing"/>
        <w:spacing w:lineRule="auto" w:line="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Zwroty określające warunki bezpiecznego stosowania:</w:t>
      </w:r>
    </w:p>
    <w:p>
      <w:pPr>
        <w:pStyle w:val="NoSpacing"/>
        <w:spacing w:lineRule="auto" w:line="276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Brak. </w:t>
      </w:r>
    </w:p>
    <w:p>
      <w:pPr>
        <w:pStyle w:val="NoSpacing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Inne informacje: 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EUH208 – zawiera izotiazolinony (nr CAS 55965-84-9). Może powodować wystąpienie reakcji alergicznej</w:t>
      </w:r>
      <w:r>
        <w:rPr>
          <w:rFonts w:cs="Arial" w:ascii="Arial" w:hAnsi="Arial"/>
          <w:b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EUH210 – karta charakterystyki dostępna na żądanie </w:t>
      </w:r>
    </w:p>
    <w:p>
      <w:pPr>
        <w:pStyle w:val="NoSpacing"/>
        <w:jc w:val="both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</w:r>
    </w:p>
    <w:p>
      <w:pPr>
        <w:pStyle w:val="NoSpacing"/>
        <w:jc w:val="both"/>
        <w:rPr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2.3 Inne zagrożenia: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Brak dodatkowych zagrożeń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Brak informacji na temat spełnienia kryteriów PBT lub vPvB zgodnie z załącznikiem XIII rozporządzenia REACH. Odpowiednie badania nie były przeprowadzone.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M4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EEECE1"/>
        <w:spacing w:before="60" w:after="6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color w:val="000000"/>
          <w:sz w:val="22"/>
          <w:szCs w:val="22"/>
        </w:rPr>
        <w:t xml:space="preserve">SEKCJA 3: Skład/informacja o składnikach </w:t>
      </w:r>
    </w:p>
    <w:p>
      <w:pPr>
        <w:pStyle w:val="NoSpacing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Spacing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3.1 Substancja:  </w:t>
      </w:r>
      <w:r>
        <w:rPr>
          <w:rFonts w:cs="Arial" w:ascii="Arial" w:hAnsi="Arial"/>
          <w:sz w:val="20"/>
          <w:szCs w:val="20"/>
        </w:rPr>
        <w:t>Nie dotyczy.</w:t>
      </w:r>
    </w:p>
    <w:p>
      <w:pPr>
        <w:pStyle w:val="NoSpacing"/>
        <w:jc w:val="both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3.2 Mieszanina:  </w:t>
      </w:r>
      <w:r>
        <w:rPr>
          <w:rFonts w:cs="Arial" w:ascii="Arial" w:hAnsi="Arial"/>
          <w:sz w:val="20"/>
          <w:szCs w:val="20"/>
        </w:rPr>
        <w:t>Niebezpieczne składniki:</w:t>
      </w:r>
    </w:p>
    <w:tbl>
      <w:tblPr>
        <w:tblW w:w="10358" w:type="dxa"/>
        <w:jc w:val="left"/>
        <w:tblInd w:w="10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3400"/>
        <w:gridCol w:w="1276"/>
        <w:gridCol w:w="2835"/>
        <w:gridCol w:w="2846"/>
      </w:tblGrid>
      <w:tr>
        <w:trPr>
          <w:trHeight w:val="232" w:hRule="atLeast"/>
        </w:trPr>
        <w:tc>
          <w:tcPr>
            <w:tcW w:w="34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Spacing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Identyfikator produktu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Spacing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Zawartość</w:t>
            </w:r>
          </w:p>
          <w:p>
            <w:pPr>
              <w:pStyle w:val="NoSpacing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%</w:t>
            </w:r>
          </w:p>
        </w:tc>
        <w:tc>
          <w:tcPr>
            <w:tcW w:w="56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>Klasyfikacja CLP</w:t>
            </w:r>
          </w:p>
        </w:tc>
      </w:tr>
      <w:tr>
        <w:trPr>
          <w:trHeight w:val="232" w:hRule="atLeast"/>
        </w:trPr>
        <w:tc>
          <w:tcPr>
            <w:tcW w:w="34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Spacing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Spacing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Klasa zagrożenia i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kody kategorii</w:t>
            </w:r>
          </w:p>
        </w:tc>
        <w:tc>
          <w:tcPr>
            <w:tcW w:w="2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Kody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zwrotów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wskazujących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rodzaj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>zagrożenia</w:t>
            </w:r>
          </w:p>
        </w:tc>
      </w:tr>
      <w:tr>
        <w:trPr>
          <w:trHeight w:val="1568" w:hRule="atLeast"/>
        </w:trPr>
        <w:tc>
          <w:tcPr>
            <w:tcW w:w="3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Etoksylowany alcohol syntetyczny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CAS: 9043-30-5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WE: </w:t>
            </w:r>
            <w:r>
              <w:rPr>
                <w:rFonts w:cs="Arial" w:ascii="Arial" w:hAnsi="Arial"/>
                <w:sz w:val="20"/>
                <w:szCs w:val="20"/>
                <w:lang w:val="sk-SK"/>
              </w:rPr>
              <w:t>-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sz w:val="20"/>
                <w:szCs w:val="20"/>
              </w:rPr>
              <w:t>Nr indeksowy: -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u w:val="single"/>
              </w:rPr>
              <w:t>Nr REACH</w:t>
            </w:r>
            <w:r>
              <w:rPr>
                <w:rFonts w:cs="Arial" w:ascii="Arial" w:hAnsi="Arial"/>
                <w:sz w:val="20"/>
                <w:szCs w:val="20"/>
              </w:rPr>
              <w:t>: substancja podlega przepisom okresu przejściowego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</w:rPr>
              <w:t>&lt;1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Acute Tox.4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Eye Dam.1</w:t>
            </w:r>
          </w:p>
        </w:tc>
        <w:tc>
          <w:tcPr>
            <w:tcW w:w="2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H302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20"/>
                <w:szCs w:val="20"/>
              </w:rPr>
              <w:t>H318</w:t>
            </w:r>
          </w:p>
        </w:tc>
      </w:tr>
      <w:tr>
        <w:trPr>
          <w:trHeight w:val="1568" w:hRule="atLeast"/>
        </w:trPr>
        <w:tc>
          <w:tcPr>
            <w:tcW w:w="3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Tetrahydro-1,3,4,6-tetrakis (hydroksymetylo) imidazo[4,5-d]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midazol-2,5(1H,3H)-dion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CAS: 5395-50-6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WE: </w:t>
            </w:r>
            <w:r>
              <w:rPr>
                <w:rFonts w:cs="Arial" w:ascii="Arial" w:hAnsi="Arial"/>
                <w:sz w:val="20"/>
                <w:szCs w:val="20"/>
                <w:lang w:val="sk-SK"/>
              </w:rPr>
              <w:t>226-408-0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sz w:val="20"/>
                <w:szCs w:val="20"/>
              </w:rPr>
              <w:t>Nr indeksowy: -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u w:val="single"/>
              </w:rPr>
              <w:t>Nr REACH</w:t>
            </w:r>
            <w:r>
              <w:rPr>
                <w:rFonts w:cs="Arial" w:ascii="Arial" w:hAnsi="Arial"/>
                <w:sz w:val="20"/>
                <w:szCs w:val="20"/>
              </w:rPr>
              <w:t>: substancja podlega przepisom okresu przejściowego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</w:rPr>
              <w:t>&lt;0,05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Skin Sens. 1</w:t>
            </w:r>
          </w:p>
        </w:tc>
        <w:tc>
          <w:tcPr>
            <w:tcW w:w="2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20"/>
                <w:szCs w:val="20"/>
              </w:rPr>
              <w:t>H317</w:t>
            </w:r>
          </w:p>
        </w:tc>
      </w:tr>
      <w:tr>
        <w:trPr>
          <w:trHeight w:val="1568" w:hRule="atLeast"/>
        </w:trPr>
        <w:tc>
          <w:tcPr>
            <w:tcW w:w="3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sz w:val="20"/>
                <w:szCs w:val="20"/>
              </w:rPr>
              <w:t>Mieszanina izotiazolinonów</w:t>
            </w:r>
            <w:r>
              <w:rPr>
                <w:rFonts w:cs="Arial" w:ascii="Arial" w:hAnsi="Arial"/>
                <w:sz w:val="20"/>
                <w:szCs w:val="20"/>
                <w:u w:val="single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sz w:val="20"/>
                <w:szCs w:val="20"/>
                <w:u w:val="single"/>
              </w:rPr>
              <w:t>CAS:</w:t>
            </w:r>
            <w:r>
              <w:rPr>
                <w:rFonts w:cs="Arial" w:ascii="Arial" w:hAnsi="Arial"/>
                <w:sz w:val="20"/>
                <w:szCs w:val="20"/>
              </w:rPr>
              <w:t xml:space="preserve"> 55965-84-9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u w:val="single"/>
              </w:rPr>
              <w:t>WE: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sk-SK"/>
              </w:rPr>
              <w:t>-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sz w:val="20"/>
                <w:szCs w:val="20"/>
              </w:rPr>
              <w:t>Nr indeksowy: 613-167-00-5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u w:val="single"/>
              </w:rPr>
              <w:t>Nr REACH</w:t>
            </w:r>
            <w:r>
              <w:rPr>
                <w:rFonts w:cs="Arial" w:ascii="Arial" w:hAnsi="Arial"/>
                <w:sz w:val="20"/>
                <w:szCs w:val="20"/>
              </w:rPr>
              <w:t>: substancja podlega przepisom okresu przejściowego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</w:rPr>
              <w:t>&lt;0,00015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Acute Tox. 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Skin Corr. 1B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Skin Sens. 1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Aquatic Acute 1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Aquatic Chronic1</w:t>
            </w:r>
          </w:p>
        </w:tc>
        <w:tc>
          <w:tcPr>
            <w:tcW w:w="2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H331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H311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H301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H314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H317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H400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20"/>
                <w:szCs w:val="20"/>
              </w:rPr>
              <w:t>H410</w:t>
            </w:r>
          </w:p>
        </w:tc>
      </w:tr>
    </w:tbl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Pełna treść zwrotów H w sekcji 16 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EEECE1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bCs/>
          <w:iCs/>
          <w:color w:val="000000"/>
        </w:rPr>
        <w:t>SEKCJA 4: Środki pierwszej pomocy</w:t>
      </w:r>
    </w:p>
    <w:p>
      <w:pPr>
        <w:pStyle w:val="NoSpacing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Spacing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4.1 Opis środków pierwszej pomocy</w:t>
      </w:r>
    </w:p>
    <w:p>
      <w:pPr>
        <w:pStyle w:val="NoSpacing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W przypadku kontaktu ze skórą: </w:t>
      </w:r>
    </w:p>
    <w:p>
      <w:pPr>
        <w:pStyle w:val="NoSpacing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Umyć zabrudzoną skórę wodą z mydłem, spłukać dokładnie wodą, w przypadku pojawienia się podrażnienia, rumieni skontaktować się z lekarzem. 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W przypadku kontaktu z oczami:</w:t>
      </w:r>
    </w:p>
    <w:p>
      <w:pPr>
        <w:pStyle w:val="NoSpacing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Przepłukać oczy przez kilkanaście minut (ok. 15) dużą ilością wody, trzymając powieki szeroko rozwarte. Unikać silnego strumienia, ze względu na niebezpieczeństwo uszkodzenia rogówki, skontaktować się z lekarzem.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Narażenie inhalacyjne: </w:t>
      </w:r>
    </w:p>
    <w:p>
      <w:pPr>
        <w:pStyle w:val="NoSpacing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 razie zawrotów głowy lub nudności wyprowadzić poszkodowanego na świeże powietrze, w razie braku szybkiej poprawy zasięgnąć porady lekarza.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W przypadku połknięcia: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Nie wywoływać wymiotów, przepłukać jamę ustną, podać do wypicia dużą ilość wody, w przypadku wystąpienia niepokojących objawów skontaktować się z lekarzem. 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4.2 Najważniejsze ostre i opóźnione objawy oraz skutki narażenia: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Kontakt ze skórą: u osób wrażliwych może powodować reakcję alergiczną.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Kontakt z oczami: bezpośredni kontakt może spowodować delikatne podrażnienia.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Układ oddechowy: brak znanych szkodliwych oddziaływań</w:t>
      </w:r>
    </w:p>
    <w:p>
      <w:pPr>
        <w:pStyle w:val="NoSpacing"/>
        <w:jc w:val="both"/>
        <w:rPr>
          <w:b/>
          <w:b/>
          <w:bC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Przewód pokarmowy: spożycie może wywoływać objawy zatrucia pokarmowego, bóle żołądka, nudności, wymioty.</w:t>
      </w:r>
    </w:p>
    <w:p>
      <w:pPr>
        <w:pStyle w:val="Default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4.3 Wskazania dotyczące wszelkiej natychmiastowej pomocy lekarskiej i szczególnego postępowania </w:t>
        <w:br/>
        <w:t>z poszkodowanym: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Decyzję o sposobie postępowania podejmuje lekarz po ocenie stanu poszkodowanego. 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EEECE1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bCs/>
          <w:iCs/>
          <w:color w:val="000000"/>
        </w:rPr>
        <w:t>SEKCJA 5: Postępowanie w przypadku pożaru</w:t>
      </w:r>
    </w:p>
    <w:p>
      <w:pPr>
        <w:pStyle w:val="NoSpacing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Spacing"/>
        <w:jc w:val="both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5.1 Środki gaśnicze:</w:t>
      </w:r>
    </w:p>
    <w:p>
      <w:pPr>
        <w:pStyle w:val="NoSpacing"/>
        <w:jc w:val="both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Odpowiednie środki gaśnicze:</w:t>
      </w:r>
      <w:r>
        <w:rPr>
          <w:rFonts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piana alkoholoodporna lub suche proszki gaśnicze (A,B,C), dwutlenek węgla (gaśnica śniegowa), piasek lub ziemia, mgła wodna. Stosować metody gaśnicze odpowiednie do warunków otoczenia.</w:t>
      </w:r>
    </w:p>
    <w:p>
      <w:pPr>
        <w:pStyle w:val="NoSpacing"/>
        <w:jc w:val="both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Niewłaściwe środki gaśnicze:</w:t>
      </w:r>
      <w:r>
        <w:rPr>
          <w:rFonts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Silny strumień wody.</w:t>
      </w:r>
    </w:p>
    <w:p>
      <w:pPr>
        <w:pStyle w:val="NoSpacing"/>
        <w:jc w:val="both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5.2 Szczególne zagrożenia związane z substancją lub mieszaniną</w:t>
      </w:r>
      <w:r>
        <w:rPr>
          <w:rFonts w:cs="Arial" w:ascii="Arial" w:hAnsi="Arial"/>
          <w:sz w:val="20"/>
          <w:szCs w:val="20"/>
        </w:rPr>
        <w:t xml:space="preserve"> W trakcie pożaru, pod wpływem działania wysokich temperatur uwalniają się toksyczne produkty rozkładu zawierające min. tlenki węgla.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5.3 Informacje dla straży pożarnej: </w:t>
      </w:r>
      <w:r>
        <w:rPr>
          <w:rFonts w:cs="Arial" w:ascii="Arial" w:hAnsi="Arial"/>
          <w:sz w:val="20"/>
          <w:szCs w:val="20"/>
        </w:rPr>
        <w:t>Pojemniki znajdujące się w strefie pożaru chłodzić rozproszonym strumieniem wody, o ile jest to możliwe usunąć ze strefy zagrożenia</w:t>
      </w:r>
      <w:r>
        <w:rPr>
          <w:rFonts w:cs="Arial" w:ascii="Arial" w:hAnsi="Arial"/>
          <w:color w:val="0000FF"/>
          <w:sz w:val="20"/>
          <w:szCs w:val="20"/>
        </w:rPr>
        <w:t xml:space="preserve">. </w:t>
      </w:r>
      <w:r>
        <w:rPr>
          <w:rFonts w:cs="Arial" w:ascii="Arial" w:hAnsi="Arial"/>
          <w:sz w:val="20"/>
          <w:szCs w:val="20"/>
        </w:rPr>
        <w:t>W przypadku pożaru w zamkniętym pomieszczeniu należy stosować odzież ochronną i aparat oddechowy na sprężone powietrze</w:t>
      </w:r>
      <w:r>
        <w:rPr>
          <w:rFonts w:cs="Arial" w:ascii="Arial" w:hAnsi="Arial"/>
        </w:rPr>
        <w:t>.</w:t>
      </w:r>
      <w:r>
        <w:rPr>
          <w:rFonts w:cs="Arial" w:ascii="Arial" w:hAnsi="Arial"/>
          <w:color w:val="000000"/>
          <w:sz w:val="20"/>
          <w:szCs w:val="20"/>
        </w:rPr>
        <w:t xml:space="preserve"> Nie dopuszczać do przedostania się wody gaśniczej do wód powierzchniowych, gruntowych i kanalizacji. 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EEECE1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iCs/>
          <w:color w:val="000000"/>
        </w:rPr>
        <w:t>SEKCJA 6: Postępowanie w przypadku niezamierzonego uwolnienia do środowiska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jc w:val="both"/>
        <w:rPr>
          <w:rFonts w:ascii="Arial" w:hAnsi="Arial" w:cs="Arial"/>
          <w:i/>
          <w:i/>
          <w:i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6.1 Indywidualne środki ostrożności, sprzęt ochronny  i procedury w sytuacjach awaryjnych </w:t>
      </w:r>
    </w:p>
    <w:p>
      <w:pPr>
        <w:pStyle w:val="NoSpacing"/>
        <w:jc w:val="both"/>
        <w:rPr>
          <w:rFonts w:ascii="Arial" w:hAnsi="Arial" w:cs="Arial"/>
          <w:i/>
          <w:i/>
          <w:iCs/>
          <w:color w:val="000000"/>
          <w:sz w:val="20"/>
          <w:szCs w:val="20"/>
        </w:rPr>
      </w:pPr>
      <w:r>
        <w:rPr>
          <w:rFonts w:cs="Arial" w:ascii="Arial" w:hAnsi="Arial"/>
          <w:i/>
          <w:iCs/>
          <w:color w:val="000000"/>
          <w:sz w:val="20"/>
          <w:szCs w:val="20"/>
        </w:rPr>
        <w:t>Dla osób nienależących do personelu udzielającego pomocy:</w:t>
      </w:r>
      <w:r>
        <w:rPr>
          <w:rFonts w:cs="Arial" w:ascii="Arial" w:hAnsi="Arial"/>
          <w:iCs/>
          <w:color w:val="000000"/>
          <w:sz w:val="20"/>
          <w:szCs w:val="20"/>
        </w:rPr>
        <w:t xml:space="preserve"> z</w:t>
      </w:r>
      <w:r>
        <w:rPr>
          <w:rFonts w:cs="Arial" w:ascii="Arial" w:hAnsi="Arial"/>
          <w:sz w:val="20"/>
          <w:szCs w:val="20"/>
        </w:rPr>
        <w:t xml:space="preserve">awiadomić o awarii odpowiednie służby. Usunąć </w:t>
        <w:br/>
        <w:t xml:space="preserve">z obszaru zagrożenia osoby niebiorące udziału w likwidacji awarii. 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i/>
          <w:iCs/>
          <w:color w:val="000000"/>
          <w:sz w:val="20"/>
          <w:szCs w:val="20"/>
        </w:rPr>
        <w:t>Dla osób udzielających pomocy:</w:t>
      </w:r>
      <w:r>
        <w:rPr>
          <w:rFonts w:cs="Arial" w:ascii="Arial" w:hAnsi="Arial"/>
          <w:iCs/>
          <w:color w:val="00000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Zadbać o odpowiednią wentylację, stosować indywidualne środki ochrony. Nie wdychać par produktu.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6.2 Środki ostrożności w zakresie ochrony środowiska: </w:t>
      </w:r>
      <w:r>
        <w:rPr>
          <w:rFonts w:cs="Arial" w:ascii="Arial" w:hAnsi="Arial"/>
          <w:sz w:val="20"/>
          <w:szCs w:val="20"/>
        </w:rPr>
        <w:t>Zapobiegać rozprzestrzenianiu się oraz przedostaniu do kanalizacji i zbiorników wodnych, poinformować władze lokalne w przypadku niemożności zapewnienia ochrony.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6.3 Metody i materiały zapobiegające rozprzestrzenianiu się skażenia i służące do usuwania skażenia: 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Zapobiegać rozprzestrzenianiu się i usuwać poprzez zebranie na materiale absorpcyjnym (piasek, trociny, ziemia okrzemkowa, absorbent uniwersalny), zanieczyszczony materiał umieścić w odpowiednio oznakowanych pojemnikach w celu utylizacji zgodnie z  obowiązującymi przepisami.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6.4 Odniesienia do innych sekcji 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Postępowanie z odpadami produktu – patrz sekcja 13 karty. Środki ochrony indywidualnej – patrz sekcja 8 karty.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EEECE1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</w:rPr>
        <w:t xml:space="preserve">SEKCJA 7: Postępowanie z substancjami i mieszaninami oraz ich magazynowanie </w:t>
      </w:r>
    </w:p>
    <w:p>
      <w:pPr>
        <w:pStyle w:val="NoSpacing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7.1 Środki ostrożności dotyczące bezpiecznego postępowania:</w:t>
      </w:r>
    </w:p>
    <w:p>
      <w:pPr>
        <w:pStyle w:val="NoSpacing"/>
        <w:jc w:val="both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Unikać kontaktu z oczami. Unikać przedłużonego lub powtarzającego się kontaktu ze skórą. Unikać rozlewania. Unikać źródeł zapłonu, podwyższonej temperatury, gorących powierzchni i otwartego ognia. Unikać wdychania par produktu. Pracować zgodnie z zasadami bezpieczeństwa i higieny: nie spożywać pokarmów i napojów, nie palić </w:t>
        <w:br/>
        <w:t>w miejscu pracy, myć ręce po użyciu, zdjąć zanieczyszczoną odzież i sprzęt ochronny przez wejściem do miejsc przeznaczonych do spożywania posiłków. Do wszystkich specyficznych rekomendacji kontrolowania zagrożeń przeprowadzić ocenę ryzyka zawodowego na stanowisku pracy w celu ustalenia środków zaradczych właściwych dla konkretnych warunków pracy.</w:t>
      </w:r>
    </w:p>
    <w:p>
      <w:pPr>
        <w:pStyle w:val="NoSpacing"/>
        <w:jc w:val="both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7.2 Warunki bezpiecznego magazynowania, w tym informacje dotyczące wszelkich wzajemnych niezgodności: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Przechowywać w chłodnym, suchym, dobrze wentylowanym pomieszczeniu w prawidłowo oznakowanym szczelnie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zamkniętym oryginalnym pojemniku. Unikać bezpośredniego działania promieni słonecznych i źródeł ciepła, gorących powierzchni i otwartego ognia. Unikać kontaktu z silnymi kwasami, silnymi zasadami i silnymi środkami utleniającymi.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 xml:space="preserve">7.3 Szczególne zastosowanie(-a) końcowe: </w:t>
      </w:r>
      <w:r>
        <w:rPr>
          <w:rFonts w:cs="Arial" w:ascii="Arial" w:hAnsi="Arial"/>
          <w:sz w:val="20"/>
          <w:szCs w:val="20"/>
        </w:rPr>
        <w:t>impregnat do klinkieru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EEECE1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</w:rPr>
        <w:t>SEKCJA 8: Kontrola narażenia/środki ochrony indywidualnej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8.1 Parametry dotyczące kontroli:</w:t>
      </w:r>
    </w:p>
    <w:p>
      <w:pPr>
        <w:pStyle w:val="NoSpacing"/>
        <w:jc w:val="both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Brak.</w:t>
      </w:r>
    </w:p>
    <w:p>
      <w:pPr>
        <w:pStyle w:val="NoSpacing"/>
        <w:jc w:val="both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</w:r>
    </w:p>
    <w:p>
      <w:pPr>
        <w:pStyle w:val="NoSpacing"/>
        <w:jc w:val="both"/>
        <w:rPr>
          <w:rFonts w:ascii="Arial" w:hAnsi="Arial" w:cs="Arial"/>
          <w:b/>
          <w:b/>
          <w:iCs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8.2 Kontrola narażenia:</w:t>
      </w:r>
    </w:p>
    <w:p>
      <w:pPr>
        <w:pStyle w:val="NoSpacing"/>
        <w:jc w:val="both"/>
        <w:rPr>
          <w:rFonts w:ascii="Arial" w:hAnsi="Arial" w:cs="Arial"/>
          <w:b/>
          <w:b/>
          <w:iCs/>
          <w:color w:val="000000"/>
          <w:sz w:val="20"/>
          <w:szCs w:val="20"/>
        </w:rPr>
      </w:pPr>
      <w:r>
        <w:rPr>
          <w:rFonts w:cs="Arial" w:ascii="Arial" w:hAnsi="Arial"/>
          <w:b/>
          <w:iCs/>
          <w:color w:val="000000"/>
          <w:sz w:val="20"/>
          <w:szCs w:val="20"/>
        </w:rPr>
      </w:r>
    </w:p>
    <w:p>
      <w:pPr>
        <w:pStyle w:val="NoSpacing"/>
        <w:jc w:val="both"/>
        <w:rPr>
          <w:rFonts w:ascii="Arial" w:hAnsi="Arial" w:cs="Arial"/>
          <w:b/>
          <w:b/>
          <w:iCs/>
          <w:color w:val="000000"/>
          <w:sz w:val="20"/>
          <w:szCs w:val="20"/>
        </w:rPr>
      </w:pPr>
      <w:r>
        <w:rPr>
          <w:rFonts w:cs="Arial" w:ascii="Arial" w:hAnsi="Arial"/>
          <w:b/>
          <w:iCs/>
          <w:color w:val="000000"/>
          <w:sz w:val="20"/>
          <w:szCs w:val="20"/>
        </w:rPr>
        <w:t>Stosowne techniczne środki kontroli</w:t>
      </w:r>
      <w:r>
        <w:rPr>
          <w:rFonts w:cs="Arial" w:ascii="Arial" w:hAnsi="Arial"/>
          <w:b/>
          <w:sz w:val="20"/>
          <w:szCs w:val="20"/>
        </w:rPr>
        <w:t>:</w:t>
      </w:r>
      <w:r>
        <w:rPr>
          <w:rFonts w:cs="Arial" w:ascii="Arial" w:hAnsi="Arial"/>
          <w:sz w:val="20"/>
          <w:szCs w:val="20"/>
        </w:rPr>
        <w:t xml:space="preserve"> zalecane jest stosowanie wentylacji ogólnej pomieszczenia.</w:t>
      </w:r>
    </w:p>
    <w:p>
      <w:pPr>
        <w:pStyle w:val="NoSpacing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iCs/>
          <w:color w:val="000000"/>
          <w:sz w:val="20"/>
          <w:szCs w:val="20"/>
        </w:rPr>
        <w:t>Indywidualne środki ochrony, takie jak indywidualny sprzęt ochronny</w:t>
      </w:r>
      <w:r>
        <w:rPr>
          <w:rFonts w:cs="Arial" w:ascii="Arial" w:hAnsi="Arial"/>
          <w:b/>
          <w:sz w:val="20"/>
          <w:szCs w:val="20"/>
        </w:rPr>
        <w:t>:</w:t>
      </w:r>
    </w:p>
    <w:p>
      <w:pPr>
        <w:pStyle w:val="NoSpacing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Spacing"/>
        <w:ind w:left="2832" w:firstLine="708"/>
        <w:jc w:val="both"/>
        <w:rPr>
          <w:rFonts w:ascii="Arial" w:hAnsi="Arial" w:cs="Arial"/>
          <w:b/>
          <w:b/>
          <w:i/>
          <w:i/>
          <w:sz w:val="20"/>
          <w:szCs w:val="20"/>
        </w:rPr>
      </w:pPr>
      <w:r>
        <w:rPr/>
        <w:drawing>
          <wp:inline distT="0" distB="0" distL="0" distR="0">
            <wp:extent cx="590550" cy="819150"/>
            <wp:effectExtent l="0" t="0" r="0" b="0"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b/>
          <w:lang w:val="pl-PL"/>
        </w:rPr>
        <w:t xml:space="preserve"> 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i/>
          <w:sz w:val="20"/>
          <w:szCs w:val="20"/>
        </w:rPr>
        <w:t>Ochrona oczu  lub twarzy:</w:t>
      </w:r>
    </w:p>
    <w:p>
      <w:pPr>
        <w:pStyle w:val="NoSpacing"/>
        <w:jc w:val="both"/>
        <w:rPr>
          <w:rFonts w:ascii="Arial" w:hAnsi="Arial" w:cs="Arial"/>
          <w:b/>
          <w:b/>
          <w:i/>
          <w:i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Nie jest wymagana w normalnych warunkach stosowania</w:t>
      </w:r>
    </w:p>
    <w:p>
      <w:pPr>
        <w:pStyle w:val="NoSpacing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b/>
          <w:i/>
          <w:sz w:val="20"/>
          <w:szCs w:val="20"/>
        </w:rPr>
        <w:t>Ochrona skóry:</w:t>
      </w:r>
    </w:p>
    <w:p>
      <w:pPr>
        <w:pStyle w:val="NoSpacing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Ochrona rąk: </w:t>
      </w:r>
      <w:r>
        <w:rPr>
          <w:rFonts w:cs="Arial" w:ascii="Arial" w:hAnsi="Arial"/>
          <w:sz w:val="20"/>
          <w:szCs w:val="20"/>
        </w:rPr>
        <w:t>używać rękawic ochronnych</w:t>
      </w:r>
      <w:r>
        <w:rPr>
          <w:rFonts w:cs="Arial" w:ascii="Arial" w:hAnsi="Arial"/>
          <w:b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odpornych na działanie chemikaliów wykonanych z gumy naturalnej lub PVA, zgodnych z normą EN-PN 374:2005.</w:t>
      </w:r>
    </w:p>
    <w:p>
      <w:pPr>
        <w:pStyle w:val="NoSpacing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Materiał z jakiego wykonane są rękawice: </w:t>
      </w:r>
    </w:p>
    <w:p>
      <w:pPr>
        <w:pStyle w:val="NoSpacing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Wybór odpowiednich rękawic nie zależy jedynie od materiału, ale też od marki i jakości wynikających z różnic producentów. Odporność materiału, z którego wykonane są rękawice może być określona po przeprowadzeniu testów. Dokładny czas zniszczenia rękawic musi być ustalony przez producenta.</w:t>
      </w:r>
    </w:p>
    <w:p>
      <w:pPr>
        <w:pStyle w:val="NoSpacing"/>
        <w:jc w:val="both"/>
        <w:rPr>
          <w:rFonts w:ascii="Arial" w:hAnsi="Arial" w:cs="Arial"/>
          <w:b/>
          <w:b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Inne:  </w:t>
      </w:r>
      <w:r>
        <w:rPr>
          <w:rFonts w:cs="Arial" w:ascii="Arial" w:hAnsi="Arial"/>
          <w:sz w:val="20"/>
          <w:szCs w:val="20"/>
        </w:rPr>
        <w:t>Stosować roboczą odzież ochronną (zgodna z normą EN 344) – prać regularnie.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i/>
          <w:sz w:val="20"/>
          <w:szCs w:val="20"/>
        </w:rPr>
        <w:t>Ochrona dróg oddechowych:</w:t>
      </w:r>
    </w:p>
    <w:p>
      <w:pPr>
        <w:pStyle w:val="NoSpacing"/>
        <w:jc w:val="both"/>
        <w:rPr>
          <w:rFonts w:ascii="Arial" w:hAnsi="Arial" w:cs="Arial"/>
          <w:b/>
          <w:b/>
          <w:i/>
          <w:i/>
          <w:color w:val="00000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Unikać wdychania par produktu. </w:t>
      </w:r>
    </w:p>
    <w:p>
      <w:pPr>
        <w:pStyle w:val="NoSpacing"/>
        <w:jc w:val="both"/>
        <w:rPr>
          <w:rFonts w:ascii="Arial" w:hAnsi="Arial" w:cs="Arial"/>
          <w:b/>
          <w:b/>
          <w:i/>
          <w:i/>
          <w:color w:val="000000"/>
          <w:sz w:val="20"/>
          <w:szCs w:val="20"/>
        </w:rPr>
      </w:pPr>
      <w:r>
        <w:rPr>
          <w:rFonts w:cs="Arial" w:ascii="Arial" w:hAnsi="Arial"/>
          <w:b/>
          <w:i/>
          <w:color w:val="000000"/>
          <w:sz w:val="20"/>
          <w:szCs w:val="20"/>
        </w:rPr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Zagrożenia termiczne:</w:t>
      </w:r>
    </w:p>
    <w:p>
      <w:pPr>
        <w:pStyle w:val="NoSpacing"/>
        <w:jc w:val="both"/>
        <w:rPr>
          <w:rFonts w:ascii="Arial" w:hAnsi="Arial" w:cs="Arial"/>
          <w:b/>
          <w:b/>
          <w:iCs/>
          <w:color w:val="00000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Nie dotyczy.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iCs/>
          <w:color w:val="000000"/>
          <w:sz w:val="20"/>
          <w:szCs w:val="20"/>
        </w:rPr>
        <w:t>Kontrola narażenia środowiska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Nie dopuszczać do rozprzestrzeniania się w środowisku i przedostania się do kanalizacji i cieków wodnych.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EEECE1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cs="Arial" w:ascii="Arial" w:hAnsi="Arial"/>
          <w:b/>
          <w:bCs/>
          <w:iCs/>
          <w:color w:val="000000"/>
        </w:rPr>
        <w:t>SEKCJA 9: Właściwości fizyczne i chemiczne</w:t>
      </w:r>
    </w:p>
    <w:p>
      <w:pPr>
        <w:pStyle w:val="NoSpacing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cs="Arial" w:ascii="Arial" w:hAnsi="Arial"/>
          <w:bCs/>
          <w:iCs/>
          <w:color w:val="000000"/>
          <w:sz w:val="20"/>
          <w:szCs w:val="20"/>
        </w:rPr>
      </w:r>
    </w:p>
    <w:p>
      <w:pPr>
        <w:pStyle w:val="NoSpacing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9.1 Informacje na temat podstawowych właściwości fizycznych i chemicznych</w:t>
      </w:r>
    </w:p>
    <w:p>
      <w:pPr>
        <w:pStyle w:val="NoSpacing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tbl>
      <w:tblPr>
        <w:tblW w:w="10500" w:type="dxa"/>
        <w:jc w:val="left"/>
        <w:tblInd w:w="7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5244"/>
        <w:gridCol w:w="5255"/>
      </w:tblGrid>
      <w:tr>
        <w:trPr>
          <w:trHeight w:val="453" w:hRule="atLeast"/>
        </w:trPr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Wygląd</w:t>
            </w:r>
          </w:p>
        </w:tc>
        <w:tc>
          <w:tcPr>
            <w:tcW w:w="5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Ciecz </w:t>
            </w:r>
          </w:p>
        </w:tc>
      </w:tr>
      <w:tr>
        <w:trPr>
          <w:trHeight w:val="453" w:hRule="atLeast"/>
        </w:trPr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Kolor</w:t>
            </w:r>
          </w:p>
        </w:tc>
        <w:tc>
          <w:tcPr>
            <w:tcW w:w="5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>Zgodny ze specyfikacja</w:t>
            </w:r>
          </w:p>
        </w:tc>
      </w:tr>
      <w:tr>
        <w:trPr>
          <w:trHeight w:val="453" w:hRule="atLeast"/>
        </w:trPr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Zapach</w:t>
            </w:r>
          </w:p>
        </w:tc>
        <w:tc>
          <w:tcPr>
            <w:tcW w:w="5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Specyficzny dla produktu </w:t>
            </w:r>
          </w:p>
        </w:tc>
      </w:tr>
      <w:tr>
        <w:trPr>
          <w:trHeight w:val="453" w:hRule="atLeast"/>
        </w:trPr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Próg wyczuwalności zapachu</w:t>
            </w:r>
          </w:p>
        </w:tc>
        <w:tc>
          <w:tcPr>
            <w:tcW w:w="5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Nie określono </w:t>
            </w:r>
          </w:p>
        </w:tc>
      </w:tr>
      <w:tr>
        <w:trPr>
          <w:trHeight w:val="453" w:hRule="atLeast"/>
        </w:trPr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pH </w:t>
            </w:r>
          </w:p>
        </w:tc>
        <w:tc>
          <w:tcPr>
            <w:tcW w:w="5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>Nie określono</w:t>
            </w:r>
          </w:p>
        </w:tc>
      </w:tr>
      <w:tr>
        <w:trPr>
          <w:trHeight w:val="453" w:hRule="atLeast"/>
        </w:trPr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Temperatura topnienia/zakres</w:t>
            </w:r>
          </w:p>
        </w:tc>
        <w:tc>
          <w:tcPr>
            <w:tcW w:w="5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>Nie określono</w:t>
            </w:r>
          </w:p>
        </w:tc>
      </w:tr>
      <w:tr>
        <w:trPr>
          <w:trHeight w:val="453" w:hRule="atLeast"/>
        </w:trPr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Temperatura wrzenia/zakres</w:t>
            </w:r>
          </w:p>
        </w:tc>
        <w:tc>
          <w:tcPr>
            <w:tcW w:w="5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>Nie określono</w:t>
            </w:r>
          </w:p>
        </w:tc>
      </w:tr>
      <w:tr>
        <w:trPr>
          <w:trHeight w:val="453" w:hRule="atLeast"/>
        </w:trPr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Temperatura zapłonu </w:t>
            </w:r>
          </w:p>
        </w:tc>
        <w:tc>
          <w:tcPr>
            <w:tcW w:w="5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>Nie określono</w:t>
            </w:r>
          </w:p>
        </w:tc>
      </w:tr>
      <w:tr>
        <w:trPr>
          <w:trHeight w:val="453" w:hRule="atLeast"/>
        </w:trPr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Temperatura palenia </w:t>
            </w:r>
          </w:p>
        </w:tc>
        <w:tc>
          <w:tcPr>
            <w:tcW w:w="5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>Nie określono</w:t>
            </w:r>
          </w:p>
        </w:tc>
      </w:tr>
      <w:tr>
        <w:trPr>
          <w:trHeight w:val="453" w:hRule="atLeast"/>
        </w:trPr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Szybkość parowania</w:t>
            </w:r>
          </w:p>
        </w:tc>
        <w:tc>
          <w:tcPr>
            <w:tcW w:w="5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>Nie określono</w:t>
            </w:r>
          </w:p>
        </w:tc>
      </w:tr>
      <w:tr>
        <w:trPr>
          <w:trHeight w:val="453" w:hRule="atLeast"/>
        </w:trPr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Palność (ciało stałe, gaz)</w:t>
            </w:r>
          </w:p>
        </w:tc>
        <w:tc>
          <w:tcPr>
            <w:tcW w:w="5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>Nie określono</w:t>
            </w:r>
          </w:p>
        </w:tc>
      </w:tr>
      <w:tr>
        <w:trPr>
          <w:trHeight w:val="453" w:hRule="atLeast"/>
        </w:trPr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Dolna granica wybuchowości</w:t>
            </w:r>
          </w:p>
        </w:tc>
        <w:tc>
          <w:tcPr>
            <w:tcW w:w="5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>Nie określono</w:t>
            </w:r>
          </w:p>
        </w:tc>
      </w:tr>
      <w:tr>
        <w:trPr>
          <w:trHeight w:val="453" w:hRule="atLeast"/>
        </w:trPr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Górna granica wybuchowości</w:t>
            </w:r>
          </w:p>
        </w:tc>
        <w:tc>
          <w:tcPr>
            <w:tcW w:w="5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>Nie określono</w:t>
            </w:r>
          </w:p>
        </w:tc>
      </w:tr>
      <w:tr>
        <w:trPr>
          <w:trHeight w:val="453" w:hRule="atLeast"/>
        </w:trPr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Prężność par w 20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o</w:t>
            </w:r>
            <w:r>
              <w:rPr>
                <w:rFonts w:cs="Arial" w:ascii="Arial" w:hAnsi="Arial"/>
                <w:sz w:val="20"/>
                <w:szCs w:val="20"/>
              </w:rPr>
              <w:t>C</w:t>
            </w:r>
          </w:p>
        </w:tc>
        <w:tc>
          <w:tcPr>
            <w:tcW w:w="5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>Nie określono</w:t>
            </w:r>
          </w:p>
        </w:tc>
      </w:tr>
      <w:tr>
        <w:trPr>
          <w:trHeight w:val="453" w:hRule="atLeast"/>
        </w:trPr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Względna gęstość par</w:t>
            </w:r>
          </w:p>
        </w:tc>
        <w:tc>
          <w:tcPr>
            <w:tcW w:w="5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>Nie określono</w:t>
            </w:r>
          </w:p>
        </w:tc>
      </w:tr>
      <w:tr>
        <w:trPr>
          <w:trHeight w:val="453" w:hRule="atLeast"/>
        </w:trPr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Gęstość w temp. 20 </w:t>
            </w:r>
            <w:r>
              <w:rPr>
                <w:rFonts w:ascii="Symbol" w:hAnsi="Symbol"/>
                <w:sz w:val="20"/>
                <w:szCs w:val="20"/>
              </w:rPr>
              <w:t></w:t>
            </w:r>
            <w:r>
              <w:rPr>
                <w:rFonts w:cs="Arial" w:ascii="Arial" w:hAnsi="Arial"/>
                <w:sz w:val="20"/>
                <w:szCs w:val="20"/>
              </w:rPr>
              <w:t>C</w:t>
            </w:r>
          </w:p>
        </w:tc>
        <w:tc>
          <w:tcPr>
            <w:tcW w:w="5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>Nie określono</w:t>
            </w:r>
          </w:p>
        </w:tc>
      </w:tr>
      <w:tr>
        <w:trPr>
          <w:trHeight w:val="453" w:hRule="atLeast"/>
        </w:trPr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Rozpuszczalność w rozpuszczalnikach</w:t>
            </w:r>
          </w:p>
        </w:tc>
        <w:tc>
          <w:tcPr>
            <w:tcW w:w="5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>Rozpuszczalny w wodzie</w:t>
            </w:r>
          </w:p>
        </w:tc>
      </w:tr>
      <w:tr>
        <w:trPr>
          <w:trHeight w:val="453" w:hRule="atLeast"/>
        </w:trPr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Współczynnik podziału n-oktanol/woda</w:t>
            </w:r>
          </w:p>
        </w:tc>
        <w:tc>
          <w:tcPr>
            <w:tcW w:w="5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>Nie określono</w:t>
            </w:r>
          </w:p>
        </w:tc>
      </w:tr>
      <w:tr>
        <w:trPr>
          <w:trHeight w:val="453" w:hRule="atLeast"/>
        </w:trPr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Temperatura samozapłonu</w:t>
            </w:r>
          </w:p>
        </w:tc>
        <w:tc>
          <w:tcPr>
            <w:tcW w:w="5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Nie ulega </w:t>
            </w:r>
          </w:p>
        </w:tc>
      </w:tr>
      <w:tr>
        <w:trPr>
          <w:trHeight w:val="453" w:hRule="atLeast"/>
        </w:trPr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Temperatura rozkładu</w:t>
            </w:r>
          </w:p>
        </w:tc>
        <w:tc>
          <w:tcPr>
            <w:tcW w:w="5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>Nie określono</w:t>
            </w:r>
          </w:p>
        </w:tc>
      </w:tr>
      <w:tr>
        <w:trPr>
          <w:trHeight w:val="453" w:hRule="atLeast"/>
        </w:trPr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Lepkość dynamiczna w 25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o</w:t>
            </w:r>
            <w:r>
              <w:rPr>
                <w:rFonts w:cs="Arial" w:ascii="Arial" w:hAnsi="Arial"/>
                <w:sz w:val="20"/>
                <w:szCs w:val="20"/>
              </w:rPr>
              <w:t>C</w:t>
            </w:r>
          </w:p>
        </w:tc>
        <w:tc>
          <w:tcPr>
            <w:tcW w:w="5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>Nie określono</w:t>
            </w:r>
          </w:p>
        </w:tc>
      </w:tr>
      <w:tr>
        <w:trPr>
          <w:trHeight w:val="453" w:hRule="atLeast"/>
        </w:trPr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Lepkość kinematyczna</w:t>
            </w:r>
          </w:p>
        </w:tc>
        <w:tc>
          <w:tcPr>
            <w:tcW w:w="5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>Nie określono</w:t>
            </w:r>
          </w:p>
        </w:tc>
      </w:tr>
      <w:tr>
        <w:trPr>
          <w:trHeight w:val="453" w:hRule="atLeast"/>
        </w:trPr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Właściwości wybuchowe</w:t>
            </w:r>
          </w:p>
        </w:tc>
        <w:tc>
          <w:tcPr>
            <w:tcW w:w="5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>Nie określono</w:t>
            </w:r>
          </w:p>
        </w:tc>
      </w:tr>
      <w:tr>
        <w:trPr>
          <w:trHeight w:val="453" w:hRule="atLeast"/>
        </w:trPr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Właściwości utleniające </w:t>
            </w:r>
          </w:p>
        </w:tc>
        <w:tc>
          <w:tcPr>
            <w:tcW w:w="5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>Nie określono</w:t>
            </w:r>
          </w:p>
        </w:tc>
      </w:tr>
    </w:tbl>
    <w:p>
      <w:pPr>
        <w:pStyle w:val="NoSpacing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Spacing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9.2 Inne informacje:  </w:t>
      </w:r>
      <w:r>
        <w:rPr>
          <w:rFonts w:cs="Arial" w:ascii="Arial" w:hAnsi="Arial"/>
          <w:color w:val="000000"/>
          <w:sz w:val="20"/>
          <w:szCs w:val="20"/>
        </w:rPr>
        <w:t>Brak dodatkowych wyników badań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Spacing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EEECE1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iCs/>
          <w:color w:val="000000"/>
        </w:rPr>
        <w:t>SEKCJA 10: Stabilność i reaktywność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10.1 Reaktywność:</w:t>
      </w:r>
    </w:p>
    <w:p>
      <w:pPr>
        <w:pStyle w:val="NoSpacing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Nie znana.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10.2 Stabilność chemiczna:</w:t>
      </w:r>
    </w:p>
    <w:p>
      <w:pPr>
        <w:pStyle w:val="NoSpacing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Produkt stabilny w normalnych warunkach stosowania, magazynowania i transportu.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10.3 Możliwość występowania niebezpiecznych reakcji:</w:t>
      </w:r>
    </w:p>
    <w:p>
      <w:pPr>
        <w:pStyle w:val="NoSpacing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Brak.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10.4 Warunki, których należy unikać:</w:t>
      </w:r>
    </w:p>
    <w:p>
      <w:pPr>
        <w:pStyle w:val="NoSpacing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Unikać podwyższonej temperatury, bezpośredniego działania promieni słonecznych, gorących powierzchni </w:t>
        <w:br/>
        <w:t>i otwartego ognia. Chronic przed mrozem.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10.5 Materiały niezgodne :</w:t>
      </w:r>
    </w:p>
    <w:p>
      <w:pPr>
        <w:pStyle w:val="NoSpacing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Silne kwasy, silne zasady, silne utleniacze.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10.6 Niebezpieczne produkty rozkładu: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 wysokich temperaturach uwalniają się toksyczne produkty rozkładu – tlenki węgla.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EEECE1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iCs/>
          <w:color w:val="000000"/>
        </w:rPr>
        <w:t>SEKCJA 11: Informacje toksykologiczne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11.1 Informacje dotyczące skutków toksykologicznych:</w:t>
      </w:r>
    </w:p>
    <w:p>
      <w:pPr>
        <w:pStyle w:val="NoSpacing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a) toksyczność ostra: nie wykazuje</w:t>
      </w:r>
    </w:p>
    <w:p>
      <w:pPr>
        <w:pStyle w:val="NoSpacing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 xml:space="preserve">b) działanie żrące/drażniące na skórę: nie wykazuje </w:t>
      </w:r>
    </w:p>
    <w:p>
      <w:pPr>
        <w:pStyle w:val="NoSpacing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c) poważne uszkodzenie oczu/działanie drażniące na oczy: nie wykazuje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 xml:space="preserve">d) działanie uczulające na drogi oddechowe lub skórę: </w:t>
      </w:r>
      <w:r>
        <w:rPr>
          <w:rFonts w:cs="Arial" w:ascii="Arial" w:hAnsi="Arial"/>
          <w:sz w:val="20"/>
          <w:szCs w:val="20"/>
        </w:rPr>
        <w:t>nie wykazuje</w:t>
      </w:r>
    </w:p>
    <w:p>
      <w:pPr>
        <w:pStyle w:val="NoSpacing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e) działanie mutagenne na komórki rozrodcze: nie wykazuje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f) rakotwórczość: nie wykazuje.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g) szkodliwe działanie na rozrodczość: nie wykazuje </w:t>
      </w:r>
    </w:p>
    <w:p>
      <w:pPr>
        <w:pStyle w:val="NoSpacing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h) </w:t>
      </w:r>
      <w:r>
        <w:rPr>
          <w:rFonts w:cs="Arial" w:ascii="Arial" w:hAnsi="Arial"/>
          <w:color w:val="000000"/>
          <w:sz w:val="20"/>
          <w:szCs w:val="20"/>
        </w:rPr>
        <w:t>działanie toksyczne na narządy docelowe – narażenie jednorazowe:</w:t>
      </w:r>
      <w:r>
        <w:rPr>
          <w:rFonts w:eastAsia="Times New Roman" w:cs="Arial" w:ascii="Arial" w:hAnsi="Arial"/>
          <w:sz w:val="20"/>
          <w:szCs w:val="20"/>
        </w:rPr>
        <w:t xml:space="preserve"> nie wykazuje </w:t>
      </w:r>
    </w:p>
    <w:p>
      <w:pPr>
        <w:pStyle w:val="NoSpacing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 xml:space="preserve">i) działanie toksyczne na narządy docelowe – narażenie powtarzane: </w:t>
      </w:r>
      <w:r>
        <w:rPr>
          <w:rFonts w:cs="Arial" w:ascii="Arial" w:hAnsi="Arial"/>
          <w:sz w:val="20"/>
          <w:szCs w:val="20"/>
        </w:rPr>
        <w:t xml:space="preserve">nie wykazuje </w:t>
      </w:r>
    </w:p>
    <w:p>
      <w:pPr>
        <w:pStyle w:val="NoSpacing"/>
        <w:jc w:val="both"/>
        <w:rPr>
          <w:rFonts w:ascii="Arial" w:hAnsi="Arial" w:cs="Arial"/>
          <w:b/>
          <w:b/>
          <w:iCs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 xml:space="preserve">j) zagrożenie spowodowane aspiracją: </w:t>
      </w:r>
      <w:r>
        <w:rPr>
          <w:rFonts w:cs="Arial" w:ascii="Arial" w:hAnsi="Arial"/>
          <w:sz w:val="20"/>
          <w:szCs w:val="20"/>
        </w:rPr>
        <w:t>nie wykazuje</w:t>
      </w:r>
    </w:p>
    <w:p>
      <w:pPr>
        <w:pStyle w:val="NoSpacing"/>
        <w:jc w:val="both"/>
        <w:rPr>
          <w:rFonts w:ascii="Arial" w:hAnsi="Arial" w:cs="Arial"/>
          <w:b/>
          <w:b/>
          <w:iCs/>
          <w:sz w:val="20"/>
          <w:szCs w:val="20"/>
        </w:rPr>
      </w:pPr>
      <w:r>
        <w:rPr>
          <w:rFonts w:cs="Arial" w:ascii="Arial" w:hAnsi="Arial"/>
          <w:b/>
          <w:iCs/>
          <w:sz w:val="20"/>
          <w:szCs w:val="20"/>
        </w:rPr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iCs/>
          <w:sz w:val="20"/>
          <w:szCs w:val="20"/>
        </w:rPr>
        <w:t>Informacje dotyczące prawdopodobnych dróg narażenia: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Kontakt ze skórą: u osób wrażliwych może powodować reakcję alergiczną.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Kontakt z oczami: bezpośredni kontakt może spowodować delikatne podrażnienia.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Układ oddechowy: brak znanych szkodliwych oddziaływań</w:t>
      </w:r>
    </w:p>
    <w:p>
      <w:pPr>
        <w:pStyle w:val="NoSpacing"/>
        <w:jc w:val="both"/>
        <w:rPr>
          <w:rFonts w:ascii="Arial" w:hAnsi="Arial" w:cs="Arial"/>
          <w:b/>
          <w:b/>
          <w:iC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Przewód pokarmowy: spożycie może wywoływać objawy zatrucia pokarmowego, bóle żołądka, nudności, wymioty.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iCs/>
          <w:sz w:val="20"/>
          <w:szCs w:val="20"/>
        </w:rPr>
        <w:t>Opóźnione, bezpośrednie oraz przewlekłe skutki krótko- i długotrwałego narażenia:</w:t>
      </w:r>
    </w:p>
    <w:p>
      <w:pPr>
        <w:pStyle w:val="NoSpacing"/>
        <w:jc w:val="both"/>
        <w:rPr>
          <w:rFonts w:ascii="Arial" w:hAnsi="Arial" w:cs="Arial"/>
          <w:b/>
          <w:b/>
          <w:iC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Brak danych.</w:t>
      </w:r>
    </w:p>
    <w:p>
      <w:pPr>
        <w:pStyle w:val="NoSpacing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b/>
          <w:iCs/>
          <w:sz w:val="20"/>
          <w:szCs w:val="20"/>
        </w:rPr>
        <w:t>Skutki wzajemnego oddziaływania: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Brak danych.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EEECE1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bCs/>
          <w:iCs/>
          <w:color w:val="000000"/>
        </w:rPr>
        <w:t>SEKCJA 12: Informacje ekologiczne</w:t>
      </w:r>
    </w:p>
    <w:p>
      <w:pPr>
        <w:pStyle w:val="NoSpacing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Spacing"/>
        <w:jc w:val="both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Szczegółowe badania nad działaniem mieszaniny na środowisko nie były prowadzone. Mieszanina nie sklasyfikowana jako niebezpieczny dla środowiska, zawiera składniki niebezpieczne dla środowiska.</w:t>
      </w:r>
      <w:r>
        <w:rPr>
          <w:rFonts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Nie należy dopuszczać do przedostania się do wód gruntowych, kanalizacji i cieków wodnych.</w:t>
      </w:r>
    </w:p>
    <w:p>
      <w:pPr>
        <w:pStyle w:val="NoSpacing"/>
        <w:jc w:val="both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12.1 Toksyczność:</w:t>
      </w:r>
    </w:p>
    <w:p>
      <w:pPr>
        <w:pStyle w:val="NoSpacing"/>
        <w:jc w:val="both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Brak danych.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12.2 Trwałość i zdolność do rozkładu:</w:t>
      </w:r>
    </w:p>
    <w:p>
      <w:pPr>
        <w:pStyle w:val="NoSpacing"/>
        <w:jc w:val="both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Brak danych.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12.3 Zdolność do bioakumulacji:</w:t>
      </w:r>
    </w:p>
    <w:p>
      <w:pPr>
        <w:pStyle w:val="NoSpacing"/>
        <w:jc w:val="both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Brak danych.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12.4 Mobilność w glebie:</w:t>
      </w:r>
    </w:p>
    <w:p>
      <w:pPr>
        <w:pStyle w:val="NoSpacing"/>
        <w:jc w:val="both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Brak danych.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12.5 Wyniki oceny właściwości PBT i vPvB:</w:t>
      </w:r>
    </w:p>
    <w:p>
      <w:pPr>
        <w:pStyle w:val="NoSpacing"/>
        <w:jc w:val="both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Brak danych.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12.6 Inne szkodliwe skutki działania: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Brak danych.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EEECE1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iCs/>
          <w:color w:val="000000"/>
        </w:rPr>
        <w:t>SEKCJA 13: Postępowanie z odpadami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13.1 Metody unieszkodliwiania odpadów: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Unieszkodliwianiem odpadów i opakowań jednorazowych powinny się zająć wyspecjalizowane firmy, sposób unieszkodliwiania odpadów należy uzgodnić z właściwymi terenowo wydziałem ochrony środowiska. Pozostałość składować w oryginalnych pojemnikach. Unieszkodliwiać zgodnie z obowiązującymi przepisami. Puste, opróżnione opakowania należy poddać utylizacji zgodnie z obowiązującymi przepisami lub dostarczyć na odpowiednie wysypisko śmieci. Rozporządzenie Ministra Środowiska z dnia 27 września 2001r w sprawie katalogu odpadów (DZ.U. Nr 112, poz. 1206). Dyrektywa Rady Nr 75/442/EEC w sprawie odpadów.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EEECE1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iCs/>
          <w:color w:val="000000"/>
        </w:rPr>
        <w:t>SEKCJA 14: Informacje dotyczące transportu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jc w:val="both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14.1 Numer UN (numer ONZ)</w:t>
      </w:r>
      <w:r>
        <w:rPr>
          <w:rFonts w:cs="Arial" w:ascii="Arial" w:hAnsi="Arial"/>
          <w:b/>
          <w:color w:val="000000"/>
          <w:sz w:val="20"/>
          <w:szCs w:val="20"/>
        </w:rPr>
        <w:t>:</w:t>
      </w:r>
      <w:r>
        <w:rPr>
          <w:rFonts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Nie dotyczy, produkt niesklasyfikowany jako niebezpieczny podczas transportu. </w:t>
      </w:r>
    </w:p>
    <w:p>
      <w:pPr>
        <w:pStyle w:val="NoSpacing"/>
        <w:jc w:val="both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</w:r>
    </w:p>
    <w:p>
      <w:pPr>
        <w:pStyle w:val="NoSpacing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 xml:space="preserve">14.2.Prawidłowa nazwa przewozowa UN: </w:t>
      </w:r>
      <w:r>
        <w:rPr>
          <w:rFonts w:cs="Arial" w:ascii="Arial" w:hAnsi="Arial"/>
          <w:sz w:val="20"/>
          <w:szCs w:val="20"/>
        </w:rPr>
        <w:t xml:space="preserve">Nie dotyczy, produkt niesklasyfikowany jako niebezpieczny podczas transportu. </w:t>
      </w:r>
    </w:p>
    <w:p>
      <w:pPr>
        <w:pStyle w:val="NoSpacing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Spacing"/>
        <w:jc w:val="both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14.3 Kla</w:t>
      </w:r>
      <w:r>
        <w:rPr>
          <w:rFonts w:cs="Arial" w:ascii="Arial" w:hAnsi="Arial"/>
          <w:b/>
          <w:color w:val="000000"/>
          <w:sz w:val="20"/>
          <w:szCs w:val="20"/>
        </w:rPr>
        <w:t xml:space="preserve">sa(-y) zagrożenia w transporcie: </w:t>
      </w:r>
      <w:r>
        <w:rPr>
          <w:rFonts w:cs="Arial" w:ascii="Arial" w:hAnsi="Arial"/>
          <w:sz w:val="20"/>
          <w:szCs w:val="20"/>
        </w:rPr>
        <w:t xml:space="preserve">Nie dotyczy, produkt niesklasyfikowany jako niebezpieczny podczas transportu. </w:t>
      </w:r>
    </w:p>
    <w:p>
      <w:pPr>
        <w:pStyle w:val="NoSpacing"/>
        <w:jc w:val="both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</w:r>
    </w:p>
    <w:p>
      <w:pPr>
        <w:pStyle w:val="NoSpacing"/>
        <w:jc w:val="both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 xml:space="preserve">14.4 Grupa opakowaniowa : </w:t>
      </w:r>
      <w:r>
        <w:rPr>
          <w:rFonts w:cs="Arial" w:ascii="Arial" w:hAnsi="Arial"/>
          <w:sz w:val="20"/>
          <w:szCs w:val="20"/>
        </w:rPr>
        <w:t xml:space="preserve">Nie dotyczy, produkt niesklasyfikowany jako niebezpieczny podczas transportu. </w:t>
      </w:r>
    </w:p>
    <w:p>
      <w:pPr>
        <w:pStyle w:val="NoSpacing"/>
        <w:jc w:val="both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</w:r>
    </w:p>
    <w:p>
      <w:pPr>
        <w:pStyle w:val="NoSpacing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 xml:space="preserve">14.5 Zagrożenia dla środowiska: </w:t>
      </w:r>
      <w:r>
        <w:rPr>
          <w:rFonts w:cs="Arial" w:ascii="Arial" w:hAnsi="Arial"/>
          <w:sz w:val="20"/>
          <w:szCs w:val="20"/>
        </w:rPr>
        <w:t xml:space="preserve">Nie dotyczy, produkt niesklasyfikowany jako niebezpieczny podczas transportu. </w:t>
      </w:r>
    </w:p>
    <w:p>
      <w:pPr>
        <w:pStyle w:val="NoSpacing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Spacing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14.6 Szczególne środ</w:t>
      </w:r>
      <w:r>
        <w:rPr>
          <w:rFonts w:cs="Arial" w:ascii="Arial" w:hAnsi="Arial"/>
          <w:b/>
          <w:color w:val="000000"/>
          <w:sz w:val="20"/>
          <w:szCs w:val="20"/>
        </w:rPr>
        <w:t xml:space="preserve">ki ostrożności dla użytkowników: </w:t>
      </w:r>
      <w:r>
        <w:rPr>
          <w:rFonts w:cs="Arial" w:ascii="Arial" w:hAnsi="Arial"/>
          <w:sz w:val="20"/>
          <w:szCs w:val="20"/>
        </w:rPr>
        <w:t xml:space="preserve">Nie dotyczy, produkt niesklasyfikowany jako niebezpieczny podczas transportu. </w:t>
      </w:r>
    </w:p>
    <w:p>
      <w:pPr>
        <w:pStyle w:val="NoSpacing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14.7 Transport luzem zgodnie z załącznikiem II do konwen</w:t>
      </w:r>
      <w:r>
        <w:rPr>
          <w:rFonts w:cs="Arial" w:ascii="Arial" w:hAnsi="Arial"/>
          <w:b/>
          <w:color w:val="000000"/>
          <w:sz w:val="20"/>
          <w:szCs w:val="20"/>
        </w:rPr>
        <w:t xml:space="preserve">cji MARPOL i kodeksem IBC: </w:t>
      </w:r>
      <w:r>
        <w:rPr>
          <w:rFonts w:cs="Arial" w:ascii="Arial" w:hAnsi="Arial"/>
          <w:sz w:val="20"/>
          <w:szCs w:val="20"/>
        </w:rPr>
        <w:t xml:space="preserve">Nie dotyczy, produkt niesklasyfikowany jako niebezpieczny podczas transportu. 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EEECE1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iCs/>
          <w:color w:val="000000"/>
        </w:rPr>
        <w:t>SEKCJA 15: Informacje dotyczące przepisów prawnych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jc w:val="both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15.1 Przepisy prawne dotyczące bezpieczeństwa, zdrowia i ochrony środowiska specyficzne dla substancji lub mieszaniny:</w:t>
      </w:r>
    </w:p>
    <w:p>
      <w:pPr>
        <w:pStyle w:val="NoSpacing"/>
        <w:jc w:val="both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Rozporządzenie (WE) nr 1907/2006 Parlamentu Europejskiego i Rady z dnia 18 grudnia 2006r w sprawie rejestracji, oceny, udzielania zezwoleń, stosowanych ograniczeń w zakresie chemikaliów (REACH) z późn. zm. 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Cs/>
          <w:color w:val="000000"/>
          <w:sz w:val="20"/>
          <w:szCs w:val="20"/>
        </w:rPr>
        <w:t>ROZPORZĄDZENIE KOMISJI (UE) 2015/830 z dnia 28 maja 2015 r. zmieniające rozporządzenie (WE) nr 1907/2006 Parlamentu Europejskiego i Rady w sprawie rejestracji, oceny, udzielania zezwoleń i stosowanych ograniczeń w zakresie chemikaliów (REACH)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Rozporządzenie Parlamentu Europejskiego i Rady z dnia 16 grudnia 2008r nr 1272/2008 (CLP) z późn. zm. 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Ustawa z dnia 25 lutego 2011r. o substancjach chemicznych i ich mieszaninach (DZ.U. Nr 63, poz. 322.z późn. zm.). 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Rozporządzenie Ministra Zdrowia z dnia 10 października 2013 r. zmieniające rozporządzenie w sprawie kategorii substancji niebezpiecznych i mieszanin niebezpiecznych, których opakowania wyposaża się w zamknięcia utrudniające otwarcie przez dzieci i wyczuwalne dotykiem ostrzeżenie o niebezpieczeństwie (Dz. U. 2013 nr 0 poz. 1225)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Ustawa z dnia 14 grudnia 2012 r. o odpadach (Dz. U. 2013 nr 0 poz. 21). 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Ustawa z dnia 13 czerwca 2013r o gospodarce opakowaniami i odpadami opakowaniowymi (DZ.U. 2013, poz. 888). 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Rozporządzenie Ministra Środowiska z dnia 9 września 2014r w sprawie katalogu odpadów (DZ.U. poz. 1923). 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Dyrektywa Rady Nr 75/442/EEC w sprawie odpadów, Dyrektywa Rady Nr 91/689/EEC w sprawie odpadów niebezpiecznych, Decyzja komisji Nr 2000/532/EC z 3 maja 2000r podająca wykaz odpadów, OJ Nr L 226/3 z 6 września 2000r, wraz z decyzjami zmieniającymi. 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Ustawa z dnia 19 sierpnia 2011 r. o przewozie towarów niebezpiecznych (DZ.U. Nr 227, poz. 1367) 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Oświadczenie Rządowe z dnia 23 marca 2011 r. w sprawie wejścia w życie zmian do załączników A i B Umowy europejskiej dotyczącej międzynarodowego przewozu drogowego towarów niebezpiecznych (ADR), sporządzonej w Genewie dnia 30 września 1957 r. (DZ.U. Nr 110, poz. 641).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Rozporządzenie Ministra Pracy i Polityki Społecznej z dnia 6 czerwca 2014r w sprawie najwyższych dopuszczalnych stężeń i natężeń czynników szkodliwych dla zdrowia w środowisku pracy (DZ.U. poz. 817).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Rozporządzenie Ministra Zdrowia z dnia 30 grudnia 2004r w sprawie bezpieczeństwa i higieny pracy związanej z występowaniem w miejscu pracy czynników chemicznych (Dz. U. z 2005 r. Nr 11, poz. 86 z późn. zm.). 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Rozporządzenie Ministra Środowiska z dnia 9 grudnia 2003r w sprawie substancji stwarzających szczególne zagrożenie dla środowiska (DZ.U. Nr 217, poz.2141). </w:t>
      </w:r>
    </w:p>
    <w:p>
      <w:pPr>
        <w:pStyle w:val="NoSpacing"/>
        <w:jc w:val="both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15.2 Ocena bezpieczeństwa chemicznego: </w:t>
      </w:r>
      <w:r>
        <w:rPr>
          <w:rFonts w:cs="Arial" w:ascii="Arial" w:hAnsi="Arial"/>
          <w:sz w:val="20"/>
          <w:szCs w:val="20"/>
        </w:rPr>
        <w:t xml:space="preserve">Brak oceny bezpieczeństwa chemicznego dla mieszaniny. 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EEECE1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iCs/>
          <w:color w:val="000000"/>
        </w:rPr>
        <w:t>SEKCJA 16: Inne informacje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  <w:u w:val="single"/>
        </w:rPr>
        <w:t>Zwroty H:</w:t>
      </w:r>
    </w:p>
    <w:p>
      <w:pPr>
        <w:pStyle w:val="NoSpacing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H301 – </w:t>
      </w:r>
      <w:r>
        <w:rPr>
          <w:rFonts w:cs="Arial" w:ascii="Arial" w:hAnsi="Arial"/>
          <w:sz w:val="20"/>
          <w:szCs w:val="20"/>
        </w:rPr>
        <w:t xml:space="preserve">działa toksycznie po połknięciu. </w:t>
      </w:r>
    </w:p>
    <w:p>
      <w:pPr>
        <w:pStyle w:val="NoSpacing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H302 – </w:t>
      </w:r>
      <w:r>
        <w:rPr>
          <w:rFonts w:cs="Arial" w:ascii="Arial" w:hAnsi="Arial"/>
          <w:sz w:val="20"/>
          <w:szCs w:val="20"/>
        </w:rPr>
        <w:t xml:space="preserve">działa szkodliwie po połknięciu </w:t>
      </w:r>
    </w:p>
    <w:p>
      <w:pPr>
        <w:pStyle w:val="NoSpacing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H311 – </w:t>
      </w:r>
      <w:r>
        <w:rPr>
          <w:rFonts w:cs="Arial" w:ascii="Arial" w:hAnsi="Arial"/>
          <w:sz w:val="20"/>
          <w:szCs w:val="20"/>
        </w:rPr>
        <w:t>działa toksycznie kontakcie ze skórą</w:t>
      </w:r>
    </w:p>
    <w:p>
      <w:pPr>
        <w:pStyle w:val="NoSpacing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H314 – </w:t>
      </w:r>
      <w:r>
        <w:rPr>
          <w:rFonts w:cs="Arial" w:ascii="Arial" w:hAnsi="Arial"/>
          <w:sz w:val="20"/>
          <w:szCs w:val="20"/>
        </w:rPr>
        <w:t>powoduje poważne oparzenia skóry oraz uszkodzenia oczu</w:t>
      </w:r>
    </w:p>
    <w:p>
      <w:pPr>
        <w:pStyle w:val="NoSpacing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H317 – </w:t>
      </w:r>
      <w:r>
        <w:rPr>
          <w:rFonts w:cs="Arial" w:ascii="Arial" w:hAnsi="Arial"/>
          <w:sz w:val="20"/>
          <w:szCs w:val="20"/>
        </w:rPr>
        <w:t>może powodować reakcje alergiczną skóry</w:t>
      </w:r>
    </w:p>
    <w:p>
      <w:pPr>
        <w:pStyle w:val="NoSpacing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H318 – </w:t>
      </w:r>
      <w:r>
        <w:rPr>
          <w:rFonts w:cs="Arial" w:ascii="Arial" w:hAnsi="Arial"/>
          <w:sz w:val="20"/>
          <w:szCs w:val="20"/>
        </w:rPr>
        <w:t>powoduje poważne uszkodzenie oczu</w:t>
      </w:r>
    </w:p>
    <w:p>
      <w:pPr>
        <w:pStyle w:val="NoSpacing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H331</w:t>
      </w:r>
      <w:r>
        <w:rPr>
          <w:rFonts w:cs="Arial" w:ascii="Arial" w:hAnsi="Arial"/>
          <w:sz w:val="20"/>
          <w:szCs w:val="20"/>
        </w:rPr>
        <w:t xml:space="preserve"> – działa toksycznie w następstwie wdychania</w:t>
      </w:r>
    </w:p>
    <w:p>
      <w:pPr>
        <w:pStyle w:val="NoSpacing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H400 – </w:t>
      </w:r>
      <w:r>
        <w:rPr>
          <w:rFonts w:cs="Arial" w:ascii="Arial" w:hAnsi="Arial"/>
          <w:sz w:val="20"/>
          <w:szCs w:val="20"/>
        </w:rPr>
        <w:t>działa bardzo toksycznie na organizmy wodne.</w:t>
      </w:r>
      <w:r>
        <w:rPr>
          <w:rFonts w:cs="Arial" w:ascii="Arial" w:hAnsi="Arial"/>
          <w:b/>
          <w:sz w:val="20"/>
          <w:szCs w:val="20"/>
        </w:rPr>
        <w:t xml:space="preserve"> </w:t>
      </w:r>
    </w:p>
    <w:p>
      <w:pPr>
        <w:pStyle w:val="NoSpacing"/>
        <w:rPr>
          <w:rFonts w:ascii="Arial" w:hAnsi="Arial" w:cs="Arial"/>
          <w:b/>
          <w:b/>
          <w:sz w:val="20"/>
          <w:szCs w:val="20"/>
          <w:u w:val="single"/>
        </w:rPr>
      </w:pPr>
      <w:r>
        <w:rPr>
          <w:rFonts w:cs="Arial" w:ascii="Arial" w:hAnsi="Arial"/>
          <w:b/>
          <w:sz w:val="20"/>
          <w:szCs w:val="20"/>
        </w:rPr>
        <w:t xml:space="preserve">H410 – </w:t>
      </w:r>
      <w:r>
        <w:rPr>
          <w:rFonts w:cs="Arial" w:ascii="Arial" w:hAnsi="Arial"/>
          <w:sz w:val="20"/>
          <w:szCs w:val="20"/>
        </w:rPr>
        <w:t>działa bardzo toksycznie na organizmy wodne, powoduje długotrwałe skutki.</w:t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sz w:val="20"/>
          <w:szCs w:val="20"/>
          <w:u w:val="single"/>
        </w:rPr>
      </w:pPr>
      <w:r>
        <w:rPr>
          <w:rFonts w:cs="Arial" w:ascii="Arial" w:hAnsi="Arial"/>
          <w:b/>
          <w:sz w:val="20"/>
          <w:szCs w:val="20"/>
          <w:u w:val="single"/>
        </w:rPr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  <w:u w:val="single"/>
        </w:rPr>
        <w:t>Opis użytych skrótów, akronimów i symboli: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Acute Tox. 3</w:t>
      </w:r>
      <w:r>
        <w:rPr>
          <w:rFonts w:cs="Arial" w:ascii="Arial" w:hAnsi="Arial"/>
          <w:sz w:val="20"/>
          <w:szCs w:val="20"/>
        </w:rPr>
        <w:t xml:space="preserve"> – toksyczność ostra kat.3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Acute Tox.4 – </w:t>
      </w:r>
      <w:r>
        <w:rPr>
          <w:rFonts w:cs="Arial" w:ascii="Arial" w:hAnsi="Arial"/>
          <w:sz w:val="20"/>
          <w:szCs w:val="20"/>
        </w:rPr>
        <w:t>toksyczność ostra kat.4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Skin Corr.1B</w:t>
      </w:r>
      <w:r>
        <w:rPr>
          <w:rFonts w:cs="Arial" w:ascii="Arial" w:hAnsi="Arial"/>
          <w:sz w:val="20"/>
          <w:szCs w:val="20"/>
        </w:rPr>
        <w:t xml:space="preserve"> - działanie żrące na skórę kat. 1B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Skin Sens. 1</w:t>
      </w:r>
      <w:r>
        <w:rPr>
          <w:rFonts w:cs="Arial" w:ascii="Arial" w:hAnsi="Arial"/>
          <w:sz w:val="20"/>
          <w:szCs w:val="20"/>
        </w:rPr>
        <w:t xml:space="preserve"> – działanie uczulające na skórę.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Eye Dam.1 – </w:t>
      </w:r>
      <w:r>
        <w:rPr>
          <w:rFonts w:cs="Arial" w:ascii="Arial" w:hAnsi="Arial"/>
          <w:sz w:val="20"/>
          <w:szCs w:val="20"/>
        </w:rPr>
        <w:t>poważne uszkodzenie oczu kat.1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Aquatic Acute 1</w:t>
      </w:r>
      <w:r>
        <w:rPr>
          <w:rFonts w:cs="Arial" w:ascii="Arial" w:hAnsi="Arial"/>
          <w:sz w:val="20"/>
          <w:szCs w:val="20"/>
        </w:rPr>
        <w:t xml:space="preserve"> – stwarzające zagrożenie dla środowiska wodnego kat.1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Aquatic Chronic 1 - </w:t>
      </w:r>
      <w:r>
        <w:rPr>
          <w:rFonts w:cs="Arial" w:ascii="Arial" w:hAnsi="Arial"/>
          <w:sz w:val="20"/>
          <w:szCs w:val="20"/>
        </w:rPr>
        <w:t>stwarzające zagrożenie dla środowiska wodnego kat.1</w:t>
      </w:r>
    </w:p>
    <w:p>
      <w:pPr>
        <w:pStyle w:val="NoSpacing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Szkolenia: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Nie są wymagane.</w:t>
      </w:r>
    </w:p>
    <w:p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KARTA CHARAKTERYSTYKI – </w:t>
      </w:r>
      <w:r>
        <w:rPr>
          <w:rFonts w:cs="Arial" w:ascii="Arial" w:hAnsi="Arial"/>
          <w:b/>
          <w:i/>
          <w:sz w:val="20"/>
          <w:szCs w:val="20"/>
          <w:u w:val="single"/>
        </w:rPr>
        <w:t>SILKONOWY IMPREGNAT DO KLINKIERU</w:t>
      </w:r>
    </w:p>
    <w:p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Wydanie z</w:t>
        <w:tab/>
        <w:tab/>
        <w:tab/>
        <w:tab/>
        <w:tab/>
        <w:t>06.08.2014</w:t>
      </w:r>
    </w:p>
    <w:p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Aktualizacja PL 2.0 z </w:t>
        <w:tab/>
        <w:tab/>
        <w:tab/>
        <w:tab/>
        <w:t>18.01.2016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jc w:val="both"/>
        <w:rPr>
          <w:rFonts w:ascii="Arial" w:hAnsi="Arial" w:cs="Arial"/>
          <w:b/>
          <w:b/>
          <w:i/>
          <w:i/>
          <w:sz w:val="20"/>
          <w:szCs w:val="20"/>
          <w:u w:val="single"/>
        </w:rPr>
      </w:pPr>
      <w:r>
        <w:rPr>
          <w:rFonts w:cs="Arial" w:ascii="Arial" w:hAnsi="Arial"/>
          <w:b/>
          <w:i/>
          <w:sz w:val="20"/>
          <w:szCs w:val="20"/>
          <w:u w:val="single"/>
        </w:rPr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i/>
          <w:sz w:val="20"/>
          <w:szCs w:val="20"/>
          <w:u w:val="single"/>
        </w:rPr>
        <w:t>MATERIAŁY ŹRÓDŁOWE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Załącznik do Rozporządzenia (UE) 2015/830 z dnia 28 maja 2015 r.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Przepisy prawne przytoczone w pkt. 15 karty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Informacje Biura do Spraw Substancji Chemicznych.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Karty charakterystyki producentów substancji – składniki mieszaniny – SILKONOWY IMPREGNAT DO KLINKIERU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Informacje zawarte w karcie charakterystyki dotyczą wyłącznie produktu wymienionego w tytule. Dane zawarte </w:t>
        <w:br/>
        <w:t xml:space="preserve">w karcie należy traktować wyłącznie jako pomoc dla bezpiecznego stosowania produktu </w:t>
      </w:r>
      <w:r>
        <w:rPr>
          <w:rFonts w:cs="Arial" w:ascii="Arial" w:hAnsi="Arial"/>
          <w:b/>
          <w:sz w:val="20"/>
          <w:szCs w:val="20"/>
        </w:rPr>
        <w:t xml:space="preserve">SILKONOWY IMPREGNAT DO KLINKIERU. </w:t>
      </w:r>
      <w:r>
        <w:rPr>
          <w:rFonts w:cs="Arial" w:ascii="Arial" w:hAnsi="Arial"/>
          <w:sz w:val="20"/>
          <w:szCs w:val="20"/>
        </w:rPr>
        <w:t>Ponieważ</w:t>
      </w:r>
      <w:r>
        <w:rPr>
          <w:rFonts w:cs="Arial" w:ascii="Arial" w:hAnsi="Arial"/>
          <w:b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warunki magazynowania, transportu i stosowania są poza naszą kontrolą, nie mogą stanowić gwarancji w sensie prawnym. W każdym przypadku należy przestrzegać przepisów ustawowych </w:t>
        <w:br/>
        <w:t xml:space="preserve">i ewentualnych praw osób trzecich. </w:t>
      </w:r>
      <w:r>
        <w:rPr>
          <w:rFonts w:cs="Arial" w:ascii="Arial" w:hAnsi="Arial"/>
          <w:i/>
          <w:sz w:val="20"/>
          <w:szCs w:val="20"/>
        </w:rPr>
        <w:t>Karta nie stanowi oszacowania zagrożeń w miejscu pracy</w:t>
      </w:r>
      <w:r>
        <w:rPr>
          <w:rFonts w:cs="Arial" w:ascii="Arial" w:hAnsi="Arial"/>
          <w:sz w:val="20"/>
          <w:szCs w:val="20"/>
        </w:rPr>
        <w:t xml:space="preserve">. Produktu nie należy wykorzystywać do innych celów niż podane w sekcji 1 bez uprzedniej konsultacji z firmą </w:t>
      </w:r>
      <w:r>
        <w:rPr>
          <w:rFonts w:cs="Arial" w:ascii="Arial" w:hAnsi="Arial"/>
          <w:b/>
          <w:sz w:val="20"/>
          <w:szCs w:val="20"/>
        </w:rPr>
        <w:t>CHEMAX ROBERT BIELAK.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rPr/>
      </w:pPr>
      <w:r>
        <w:rPr>
          <w:rFonts w:cs="Arial" w:ascii="Arial" w:hAnsi="Arial"/>
          <w:sz w:val="20"/>
          <w:szCs w:val="20"/>
        </w:rPr>
        <w:t xml:space="preserve">Opracowano w SPIN-DORADZTWO </w:t>
      </w:r>
      <w:hyperlink r:id="rId3">
        <w:r>
          <w:rPr>
            <w:rStyle w:val="Czeinternetowe"/>
            <w:rFonts w:cs="Arial" w:ascii="Arial" w:hAnsi="Arial"/>
            <w:sz w:val="20"/>
            <w:szCs w:val="20"/>
          </w:rPr>
          <w:t>www.spin-doradztwo.pl</w:t>
        </w:r>
      </w:hyperlink>
      <w:r>
        <w:rPr>
          <w:rFonts w:cs="Arial" w:ascii="Arial" w:hAnsi="Arial"/>
          <w:sz w:val="20"/>
          <w:szCs w:val="20"/>
        </w:rPr>
        <w:t xml:space="preserve"> dla </w:t>
      </w:r>
      <w:r>
        <w:rPr>
          <w:rFonts w:cs="Arial" w:ascii="Arial" w:hAnsi="Arial"/>
          <w:b/>
          <w:sz w:val="20"/>
          <w:szCs w:val="20"/>
        </w:rPr>
        <w:t>CHEMAX ROBERT BIELAK.</w:t>
      </w:r>
    </w:p>
    <w:p>
      <w:pPr>
        <w:pStyle w:val="NoSpacing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720" w:right="720" w:header="284" w:top="595" w:footer="0" w:bottom="720" w:gutter="0"/>
      <w:pgNumType w:fmt="decimal"/>
      <w:formProt w:val="false"/>
      <w:textDirection w:val="lrTb"/>
      <w:docGrid w:type="default" w:linePitch="60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EUAlbertin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4" w:space="1" w:color="000001"/>
      </w:pBdr>
      <w:jc w:val="right"/>
      <w:rPr/>
    </w:pPr>
    <w:r>
      <w:rPr>
        <w:rFonts w:cs="Arial" w:ascii="Arial" w:hAnsi="Arial"/>
        <w:sz w:val="20"/>
        <w:szCs w:val="20"/>
      </w:rPr>
      <w:t xml:space="preserve">Strona </w:t>
    </w:r>
    <w:r>
      <w:rPr>
        <w:rFonts w:cs="Arial" w:ascii="Arial" w:hAnsi="Arial"/>
        <w:sz w:val="20"/>
        <w:szCs w:val="20"/>
      </w:rPr>
      <w:fldChar w:fldCharType="begin"/>
    </w:r>
    <w:r>
      <w:instrText> PAGE </w:instrText>
    </w:r>
    <w:r>
      <w:fldChar w:fldCharType="separate"/>
    </w:r>
    <w:r>
      <w:t>8</w:t>
    </w:r>
    <w:r>
      <w:fldChar w:fldCharType="end"/>
    </w:r>
    <w:r>
      <w:rPr>
        <w:rFonts w:cs="Arial" w:ascii="Arial" w:hAnsi="Arial"/>
        <w:sz w:val="20"/>
        <w:szCs w:val="20"/>
      </w:rPr>
      <w:t xml:space="preserve"> z </w:t>
    </w:r>
    <w:r>
      <w:rPr>
        <w:rFonts w:cs="Arial" w:ascii="Arial" w:hAnsi="Arial"/>
        <w:sz w:val="20"/>
        <w:szCs w:val="20"/>
      </w:rPr>
      <w:fldChar w:fldCharType="begin"/>
    </w:r>
    <w:r>
      <w:instrText> NUMPAGES </w:instrText>
    </w:r>
    <w:r>
      <w:fldChar w:fldCharType="separate"/>
    </w:r>
    <w:r>
      <w:t>8</w:t>
    </w:r>
    <w:r>
      <w:fldChar w:fldCharType="end"/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3525" w:leader="none"/>
      </w:tabs>
      <w:rPr>
        <w:rFonts w:ascii="Arial" w:hAnsi="Arial" w:cs="Arial"/>
        <w:b/>
        <w:b/>
        <w:sz w:val="4"/>
        <w:szCs w:val="4"/>
        <w:u w:val="single"/>
      </w:rPr>
    </w:pPr>
    <w:r>
      <w:rPr>
        <w:rFonts w:cs="Arial" w:ascii="Arial" w:hAnsi="Arial"/>
        <w:b/>
        <w:u w:val="single"/>
      </w:rPr>
      <w:t>KARTA   CHARAKTERYSTYKI</w:t>
    </w:r>
  </w:p>
  <w:p>
    <w:pPr>
      <w:pStyle w:val="Gwka"/>
      <w:tabs>
        <w:tab w:val="left" w:pos="3525" w:leader="none"/>
      </w:tabs>
      <w:rPr>
        <w:rFonts w:ascii="Arial" w:hAnsi="Arial" w:cs="Arial"/>
        <w:b/>
        <w:b/>
        <w:sz w:val="4"/>
        <w:szCs w:val="4"/>
        <w:u w:val="single"/>
      </w:rPr>
    </w:pPr>
    <w:r>
      <w:rPr>
        <w:rFonts w:cs="Arial" w:ascii="Arial" w:hAnsi="Arial"/>
        <w:b/>
        <w:sz w:val="4"/>
        <w:szCs w:val="4"/>
        <w:u w:val="single"/>
      </w:rPr>
    </w:r>
  </w:p>
  <w:p>
    <w:pPr>
      <w:pStyle w:val="Gwka"/>
      <w:tabs>
        <w:tab w:val="left" w:pos="3525" w:leader="none"/>
      </w:tabs>
      <w:rPr>
        <w:rFonts w:ascii="Arial" w:hAnsi="Arial" w:cs="Arial"/>
        <w:b/>
        <w:b/>
        <w:sz w:val="4"/>
        <w:szCs w:val="4"/>
        <w:u w:val="single"/>
      </w:rPr>
    </w:pPr>
    <w:r>
      <w:rPr>
        <w:rFonts w:cs="Arial" w:ascii="Arial" w:hAnsi="Arial"/>
        <w:b/>
        <w:sz w:val="4"/>
        <w:szCs w:val="4"/>
        <w:u w:val="single"/>
      </w:rPr>
    </w:r>
  </w:p>
  <w:p>
    <w:pPr>
      <w:pStyle w:val="Gwka"/>
      <w:tabs>
        <w:tab w:val="left" w:pos="3525" w:leader="none"/>
      </w:tabs>
      <w:rPr>
        <w:rFonts w:ascii="Arial" w:hAnsi="Arial" w:cs="Arial"/>
        <w:b/>
        <w:b/>
        <w:sz w:val="4"/>
        <w:szCs w:val="4"/>
        <w:u w:val="single"/>
      </w:rPr>
    </w:pPr>
    <w:r>
      <w:rPr>
        <w:rFonts w:cs="Arial" w:ascii="Arial" w:hAnsi="Arial"/>
        <w:b/>
        <w:sz w:val="4"/>
        <w:szCs w:val="4"/>
        <w:u w:val="single"/>
      </w:rPr>
    </w:r>
  </w:p>
  <w:p>
    <w:pPr>
      <w:pStyle w:val="Gwka"/>
      <w:jc w:val="center"/>
      <w:rPr>
        <w:rFonts w:ascii="Arial" w:hAnsi="Arial" w:cs="Arial"/>
        <w:sz w:val="18"/>
        <w:szCs w:val="18"/>
        <w:u w:val="single"/>
      </w:rPr>
    </w:pPr>
    <w:r>
      <w:rPr>
        <w:rFonts w:cs="Arial" w:ascii="Arial" w:hAnsi="Arial"/>
        <w:b/>
        <w:i/>
        <w:sz w:val="26"/>
        <w:szCs w:val="26"/>
      </w:rPr>
      <w:t>SILKONOWY IMPREGNAT DO KOSTKI BRUKOWEJ</w:t>
    </w:r>
  </w:p>
  <w:p>
    <w:pPr>
      <w:pStyle w:val="Gwka"/>
      <w:pBdr>
        <w:bottom w:val="single" w:sz="4" w:space="1" w:color="000001"/>
      </w:pBdr>
      <w:rPr>
        <w:rFonts w:ascii="Arial" w:hAnsi="Arial" w:cs="Arial"/>
        <w:sz w:val="18"/>
        <w:szCs w:val="18"/>
      </w:rPr>
    </w:pPr>
    <w:r>
      <w:rPr>
        <w:rFonts w:cs="Arial" w:ascii="Arial" w:hAnsi="Arial"/>
        <w:sz w:val="18"/>
        <w:szCs w:val="18"/>
        <w:u w:val="single"/>
      </w:rPr>
      <w:t>Data wydania 06.08.2014</w:t>
      <w:tab/>
      <w:t xml:space="preserve">                                                                         </w:t>
      <w:tab/>
      <w:t>Data aktualizacji 18.01.2016</w:t>
    </w:r>
  </w:p>
  <w:p>
    <w:pPr>
      <w:pStyle w:val="Gwka"/>
      <w:pBdr>
        <w:bottom w:val="single" w:sz="4" w:space="1" w:color="000001"/>
      </w:pBdr>
      <w:rPr>
        <w:rFonts w:ascii="Arial" w:hAnsi="Arial" w:cs="Arial"/>
        <w:i/>
        <w:i/>
        <w:sz w:val="16"/>
        <w:szCs w:val="16"/>
      </w:rPr>
    </w:pPr>
    <w:r>
      <w:rPr>
        <w:rFonts w:cs="Arial" w:ascii="Arial" w:hAnsi="Arial"/>
        <w:sz w:val="18"/>
        <w:szCs w:val="18"/>
      </w:rPr>
      <w:t>Wersja PL:2.0</w:t>
    </w:r>
  </w:p>
  <w:p>
    <w:pPr>
      <w:pStyle w:val="LeftBold"/>
      <w:pBdr>
        <w:bottom w:val="single" w:sz="4" w:space="1" w:color="000001"/>
      </w:pBdr>
      <w:spacing w:before="0" w:after="200"/>
      <w:jc w:val="center"/>
      <w:rPr>
        <w:lang w:val="pl-PL"/>
      </w:rPr>
    </w:pPr>
    <w:r>
      <w:rPr>
        <w:rFonts w:cs="Arial" w:ascii="Arial" w:hAnsi="Arial"/>
        <w:i/>
        <w:sz w:val="16"/>
        <w:szCs w:val="16"/>
        <w:lang w:val="pl-PL"/>
      </w:rPr>
      <w:t>Karta Charakterystyki jest zgodna z Rozporządzeniem Komisji UE  2015/830 z dnia 28.05.2015r ..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0"/>
        <w:b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Calibri" w:cs="Arial"/>
      <w:color w:val="auto"/>
      <w:sz w:val="22"/>
      <w:szCs w:val="22"/>
      <w:lang w:eastAsia="ar-SA" w:val="pl-PL" w:bidi="hi-IN"/>
    </w:rPr>
  </w:style>
  <w:style w:type="paragraph" w:styleId="Nagwek1">
    <w:name w:val="Nagłówek 1"/>
    <w:basedOn w:val="Normal"/>
    <w:qFormat/>
    <w:pPr>
      <w:keepNext/>
      <w:keepLines/>
      <w:spacing w:before="480" w:after="0"/>
      <w:outlineLvl w:val="0"/>
    </w:pPr>
    <w:rPr>
      <w:rFonts w:ascii="Cambria" w:hAnsi="Cambria" w:eastAsia="Times New Roman"/>
      <w:b/>
      <w:bCs/>
      <w:color w:val="365F91"/>
      <w:sz w:val="28"/>
      <w:szCs w:val="28"/>
    </w:rPr>
  </w:style>
  <w:style w:type="paragraph" w:styleId="Nagwek4">
    <w:name w:val="Nagłówek 4"/>
    <w:basedOn w:val="Normal"/>
    <w:qFormat/>
    <w:pPr>
      <w:keepNext/>
      <w:keepLines/>
      <w:spacing w:before="200" w:after="0"/>
      <w:outlineLvl w:val="3"/>
    </w:pPr>
    <w:rPr>
      <w:rFonts w:ascii="Cambria" w:hAnsi="Cambria" w:eastAsia="Times New Roman" w:cs="Cambria"/>
      <w:b/>
      <w:bCs/>
      <w:i/>
      <w:iCs/>
      <w:color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Arial" w:hAnsi="Arial" w:cs="Arial"/>
      <w:sz w:val="20"/>
      <w:szCs w:val="2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rFonts w:ascii="Symbol" w:hAnsi="Symbol" w:cs="Symbol"/>
      <w:sz w:val="20"/>
      <w:szCs w:val="20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5z0" w:customStyle="1">
    <w:name w:val="WW8Num5z0"/>
    <w:qFormat/>
    <w:rPr>
      <w:rFonts w:ascii="Symbol" w:hAnsi="Symbol" w:eastAsia="Calibri" w:cs="Arial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5z3" w:customStyle="1">
    <w:name w:val="WW8Num5z3"/>
    <w:qFormat/>
    <w:rPr>
      <w:rFonts w:ascii="Symbol" w:hAnsi="Symbol" w:cs="Symbol"/>
    </w:rPr>
  </w:style>
  <w:style w:type="character" w:styleId="WW8Num6z0" w:customStyle="1">
    <w:name w:val="WW8Num6z0"/>
    <w:qFormat/>
    <w:rPr>
      <w:rFonts w:ascii="Arial" w:hAnsi="Arial" w:cs="Arial"/>
      <w:sz w:val="22"/>
      <w:szCs w:val="22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Symbol" w:hAnsi="Symbol" w:cs="Symbol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4z0" w:customStyle="1">
    <w:name w:val="WW8Num14z0"/>
    <w:qFormat/>
    <w:rPr>
      <w:rFonts w:ascii="Wingdings" w:hAnsi="Wingdings" w:eastAsia="Calibri" w:cs="Arial"/>
    </w:rPr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4z2" w:customStyle="1">
    <w:name w:val="WW8Num14z2"/>
    <w:qFormat/>
    <w:rPr>
      <w:rFonts w:ascii="Wingdings" w:hAnsi="Wingdings" w:cs="Wingdings"/>
    </w:rPr>
  </w:style>
  <w:style w:type="character" w:styleId="WW8Num14z3" w:customStyle="1">
    <w:name w:val="WW8Num14z3"/>
    <w:qFormat/>
    <w:rPr>
      <w:rFonts w:ascii="Symbol" w:hAnsi="Symbol" w:cs="Symbol"/>
    </w:rPr>
  </w:style>
  <w:style w:type="character" w:styleId="Domylnaczcionkaakapitu1" w:customStyle="1">
    <w:name w:val="Domyślna czcionka akapitu1"/>
    <w:qFormat/>
    <w:rPr/>
  </w:style>
  <w:style w:type="character" w:styleId="NagwekZnak" w:customStyle="1">
    <w:name w:val="Nagłówek Znak"/>
    <w:basedOn w:val="Domylnaczcionkaakapitu1"/>
    <w:qFormat/>
    <w:rPr/>
  </w:style>
  <w:style w:type="character" w:styleId="StopkaZnak" w:customStyle="1">
    <w:name w:val="Stopka Znak"/>
    <w:basedOn w:val="Domylnaczcionkaakapitu1"/>
    <w:qFormat/>
    <w:rPr/>
  </w:style>
  <w:style w:type="character" w:styleId="TekstdymkaZnak" w:customStyle="1">
    <w:name w:val="Tekst dymka Znak"/>
    <w:qFormat/>
    <w:rPr>
      <w:rFonts w:ascii="Tahoma" w:hAnsi="Tahoma" w:cs="Tahoma"/>
      <w:sz w:val="16"/>
      <w:szCs w:val="16"/>
    </w:rPr>
  </w:style>
  <w:style w:type="character" w:styleId="Nagwek1Znak" w:customStyle="1">
    <w:name w:val="Nagłówek 1 Znak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Nagwek4Znak" w:customStyle="1">
    <w:name w:val="Nagłówek 4 Znak"/>
    <w:qFormat/>
    <w:rPr>
      <w:rFonts w:ascii="Cambria" w:hAnsi="Cambria" w:eastAsia="Times New Roman" w:cs="Times New Roman"/>
      <w:b/>
      <w:bCs/>
      <w:i/>
      <w:iCs/>
      <w:color w:val="4F81BD"/>
    </w:rPr>
  </w:style>
  <w:style w:type="character" w:styleId="Czeinternetowe">
    <w:name w:val="Łącze internetowe"/>
    <w:rPr>
      <w:color w:val="0000FF"/>
      <w:u w:val="single"/>
    </w:rPr>
  </w:style>
  <w:style w:type="character" w:styleId="HTMLMarkup" w:customStyle="1">
    <w:name w:val="HTML Markup"/>
    <w:qFormat/>
    <w:rPr>
      <w:vanish/>
      <w:color w:val="FF0000"/>
    </w:rPr>
  </w:style>
  <w:style w:type="character" w:styleId="PlandokumentuZnak" w:customStyle="1">
    <w:name w:val="Plan dokumentu Znak"/>
    <w:qFormat/>
    <w:rPr>
      <w:rFonts w:ascii="Tahoma" w:hAnsi="Tahoma" w:eastAsia="Calibri" w:cs="Tahoma"/>
      <w:sz w:val="16"/>
      <w:szCs w:val="16"/>
    </w:rPr>
  </w:style>
  <w:style w:type="character" w:styleId="BezodstpwZnak" w:customStyle="1">
    <w:name w:val="Bez odstępów Znak"/>
    <w:qFormat/>
    <w:rPr>
      <w:sz w:val="22"/>
      <w:szCs w:val="22"/>
      <w:lang w:val="pl-PL" w:eastAsia="ar-SA" w:bidi="ar-SA"/>
    </w:rPr>
  </w:style>
  <w:style w:type="character" w:styleId="Strong">
    <w:name w:val="Strong"/>
    <w:qFormat/>
    <w:rPr>
      <w:b/>
      <w:bCs/>
    </w:rPr>
  </w:style>
  <w:style w:type="character" w:styleId="HTMLwstpniesformatowanyZnak" w:customStyle="1">
    <w:name w:val="HTML - wstępnie sformatowany Znak"/>
    <w:qFormat/>
    <w:rPr>
      <w:rFonts w:ascii="Courier New" w:hAnsi="Courier New" w:eastAsia="Times New Roman" w:cs="Courier New"/>
    </w:rPr>
  </w:style>
  <w:style w:type="character" w:styleId="TekstprzypisukocowegoZnak" w:customStyle="1">
    <w:name w:val="Tekst przypisu końcowego Znak"/>
    <w:qFormat/>
    <w:rPr/>
  </w:style>
  <w:style w:type="character" w:styleId="Znakiprzypiswkocowych" w:customStyle="1">
    <w:name w:val="Znaki przypisów końcowych"/>
    <w:qFormat/>
    <w:rPr>
      <w:vertAlign w:val="superscript"/>
    </w:rPr>
  </w:style>
  <w:style w:type="character" w:styleId="A4" w:customStyle="1">
    <w:name w:val="A4"/>
    <w:qFormat/>
    <w:rPr>
      <w:color w:val="000000"/>
      <w:sz w:val="13"/>
      <w:szCs w:val="13"/>
    </w:rPr>
  </w:style>
  <w:style w:type="character" w:styleId="ListLabel1">
    <w:name w:val="ListLabel 1"/>
    <w:qFormat/>
    <w:rPr>
      <w:rFonts w:ascii="Arial" w:hAnsi="Arial" w:cs="Arial"/>
      <w:b/>
      <w:sz w:val="20"/>
      <w:szCs w:val="20"/>
    </w:rPr>
  </w:style>
  <w:style w:type="character" w:styleId="ListLabel2">
    <w:name w:val="ListLabel 2"/>
    <w:qFormat/>
    <w:rPr>
      <w:rFonts w:ascii="Arial" w:hAnsi="Arial" w:cs="Symbol"/>
      <w:sz w:val="20"/>
      <w:szCs w:val="20"/>
    </w:rPr>
  </w:style>
  <w:style w:type="character" w:styleId="ListLabel3">
    <w:name w:val="ListLabel 3"/>
    <w:qFormat/>
    <w:rPr>
      <w:rFonts w:eastAsia="Calibri" w:cs="Arial"/>
    </w:rPr>
  </w:style>
  <w:style w:type="character" w:styleId="Endnotereference">
    <w:name w:val="endnote reference"/>
    <w:qFormat/>
    <w:rPr>
      <w:vertAlign w:val="superscript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pPr>
      <w:spacing w:before="0" w:after="12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Nagwek11" w:customStyle="1">
    <w:name w:val="Nagłówek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Gwka">
    <w:name w:val="Główka"/>
    <w:basedOn w:val="Normal"/>
    <w:pPr>
      <w:spacing w:before="0" w:after="0"/>
    </w:pPr>
    <w:rPr/>
  </w:style>
  <w:style w:type="paragraph" w:styleId="Stopka">
    <w:name w:val="Stopka"/>
    <w:basedOn w:val="Normal"/>
    <w:pPr>
      <w:spacing w:before="0" w:after="0"/>
    </w:pPr>
    <w:rPr/>
  </w:style>
  <w:style w:type="paragraph" w:styleId="BalloonText">
    <w:name w:val="Balloon Text"/>
    <w:basedOn w:val="Normal"/>
    <w:qFormat/>
    <w:pPr>
      <w:spacing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Calibri" w:hAnsi="Calibri" w:eastAsia="Calibri" w:cs="Arial"/>
      <w:color w:val="auto"/>
      <w:sz w:val="22"/>
      <w:szCs w:val="22"/>
      <w:lang w:eastAsia="ar-SA" w:val="pl-PL" w:bidi="hi-IN"/>
    </w:rPr>
  </w:style>
  <w:style w:type="paragraph" w:styleId="Plandokumentu1" w:customStyle="1">
    <w:name w:val="Plan dokumentu1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eftBold" w:customStyle="1">
    <w:name w:val="LeftBold"/>
    <w:basedOn w:val="Normal"/>
    <w:qFormat/>
    <w:pPr/>
    <w:rPr>
      <w:rFonts w:ascii="Times New Roman" w:hAnsi="Times New Roman" w:eastAsia="Times New Roman"/>
      <w:b/>
      <w:lang w:val="en-US" w:eastAsia="en-US" w:bidi="en-US"/>
    </w:rPr>
  </w:style>
  <w:style w:type="paragraph" w:styleId="HTMLPreformatted">
    <w:name w:val="HTML Preformatted"/>
    <w:basedOn w:val="Normal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MSDSZeile" w:customStyle="1">
    <w:name w:val="MSDS-Zeile"/>
    <w:basedOn w:val="Normal"/>
    <w:qFormat/>
    <w:pPr>
      <w:widowControl w:val="false"/>
      <w:tabs>
        <w:tab w:val="left" w:pos="3119" w:leader="none"/>
        <w:tab w:val="left" w:pos="3402" w:leader="none"/>
        <w:tab w:val="left" w:pos="4678" w:leader="none"/>
        <w:tab w:val="left" w:pos="4962" w:leader="none"/>
      </w:tabs>
      <w:spacing w:lineRule="auto" w:line="240" w:before="0" w:after="0"/>
      <w:ind w:left="425" w:hanging="0"/>
    </w:pPr>
    <w:rPr>
      <w:rFonts w:ascii="Times New Roman" w:hAnsi="Times New Roman" w:eastAsia="Times New Roman"/>
      <w:sz w:val="20"/>
      <w:szCs w:val="20"/>
      <w:lang w:val="de-DE"/>
    </w:rPr>
  </w:style>
  <w:style w:type="paragraph" w:styleId="MSDSTZeile" w:customStyle="1">
    <w:name w:val="MSDS-TZeile"/>
    <w:basedOn w:val="Normal"/>
    <w:qFormat/>
    <w:pPr>
      <w:widowControl w:val="false"/>
      <w:spacing w:lineRule="auto" w:line="240" w:before="0" w:after="0"/>
    </w:pPr>
    <w:rPr>
      <w:rFonts w:ascii="Times New Roman" w:hAnsi="Times New Roman" w:eastAsia="Times New Roman"/>
      <w:sz w:val="20"/>
      <w:szCs w:val="20"/>
      <w:lang w:val="de-DE"/>
    </w:rPr>
  </w:style>
  <w:style w:type="paragraph" w:styleId="Endnotetext">
    <w:name w:val="endnote text"/>
    <w:basedOn w:val="Normal"/>
    <w:qFormat/>
    <w:pPr/>
    <w:rPr>
      <w:sz w:val="20"/>
      <w:szCs w:val="20"/>
    </w:rPr>
  </w:style>
  <w:style w:type="paragraph" w:styleId="CM4" w:customStyle="1">
    <w:name w:val="CM4"/>
    <w:basedOn w:val="Normal"/>
    <w:qFormat/>
    <w:pPr>
      <w:spacing w:lineRule="auto" w:line="240" w:before="0" w:after="0"/>
    </w:pPr>
    <w:rPr>
      <w:rFonts w:ascii="EUAlbertina" w:hAnsi="EUAlbertina"/>
      <w:sz w:val="24"/>
      <w:szCs w:val="24"/>
    </w:rPr>
  </w:style>
  <w:style w:type="paragraph" w:styleId="Default" w:customStyle="1">
    <w:name w:val="Default"/>
    <w:qFormat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Arial" w:hAnsi="Arial" w:eastAsia="Calibri" w:cs="Arial"/>
      <w:color w:val="000000"/>
      <w:sz w:val="24"/>
      <w:szCs w:val="24"/>
      <w:lang w:eastAsia="ar-SA" w:val="pl-PL" w:bidi="hi-IN"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DocumentMap">
    <w:name w:val="Document Map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spin-doradztwo.pl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LibreOffice/4.4.1.2$Windows_x86 LibreOffice_project/45e2de17089c24a1fa810c8f975a7171ba4cd432</Application>
  <Paragraphs>314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2016-07-12T08:10:00Z</dcterms:created>
  <dc:creator>Agnieszka Zmorka</dc:creator>
  <dc:language>pl-PL</dc:language>
  <cp:lastPrinted>2016-02-28T14:19:00Z</cp:lastPrinted>
  <dcterms:modified xsi:type="dcterms:W3CDTF">2016-07-14T12:00:15Z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