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C6" w:rsidRDefault="00484C37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SEKCJA 1: Identyfikacja substancji/mieszaniny i identyfikacja spółki / przedsiębiorstwa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1.1 Identyfikator produktu: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rFonts w:ascii="Arial" w:hAnsi="Arial" w:cs="Arial"/>
        </w:rPr>
        <w:t>MAXKLINKIER – IMPREGNAT DO KLINKIERU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9F1EC6" w:rsidRDefault="00484C37">
      <w:pPr>
        <w:pStyle w:val="Bezodstpw"/>
        <w:ind w:left="3540" w:hanging="3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1.2 Istotne zidentyfikowane zastosowania substancji lub mieszaniny oraz zastosowania odradzane</w:t>
      </w:r>
      <w:r>
        <w:rPr>
          <w:rFonts w:ascii="Arial" w:hAnsi="Arial" w:cs="Arial"/>
          <w:b/>
          <w:sz w:val="20"/>
          <w:szCs w:val="20"/>
        </w:rPr>
        <w:t>:</w:t>
      </w:r>
    </w:p>
    <w:p w:rsidR="009F1EC6" w:rsidRDefault="00484C37">
      <w:pPr>
        <w:pStyle w:val="Bezodstpw"/>
        <w:ind w:left="3540" w:hanging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Zastosowanie zidentyfikowane:</w:t>
      </w:r>
      <w:r>
        <w:rPr>
          <w:rFonts w:ascii="Arial" w:hAnsi="Arial" w:cs="Arial"/>
          <w:sz w:val="20"/>
          <w:szCs w:val="20"/>
        </w:rPr>
        <w:tab/>
        <w:t xml:space="preserve">Silikonowy  impregnat  do klinkieru i dachówki  ceramicznej 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Zastosowanie odradzane: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nie określono</w:t>
      </w:r>
    </w:p>
    <w:p w:rsidR="009F1EC6" w:rsidRDefault="009F1EC6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F1EC6" w:rsidRDefault="00484C3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1.3 Dane dotyczące dostawcy karty charakterystyki:</w:t>
      </w:r>
    </w:p>
    <w:p w:rsidR="009F1EC6" w:rsidRDefault="00484C37">
      <w:pPr>
        <w:ind w:firstLine="708"/>
        <w:jc w:val="both"/>
      </w:pPr>
      <w:r>
        <w:rPr>
          <w:rFonts w:ascii="Arial" w:hAnsi="Arial" w:cs="Arial"/>
          <w:b/>
          <w:sz w:val="20"/>
          <w:szCs w:val="20"/>
        </w:rPr>
        <w:t>Producent: CHEMAX ROBERT BIELAK</w:t>
      </w:r>
    </w:p>
    <w:p w:rsidR="009F1EC6" w:rsidRDefault="00484C37">
      <w:pPr>
        <w:ind w:firstLine="708"/>
        <w:jc w:val="both"/>
      </w:pPr>
      <w:r>
        <w:rPr>
          <w:rFonts w:ascii="Arial" w:hAnsi="Arial" w:cs="Arial"/>
          <w:b/>
          <w:sz w:val="20"/>
          <w:szCs w:val="20"/>
        </w:rPr>
        <w:tab/>
        <w:t xml:space="preserve">        ul. Turystyczna 13, 20-207 Lublin</w:t>
      </w:r>
    </w:p>
    <w:p w:rsidR="009F1EC6" w:rsidRDefault="00484C37">
      <w:pPr>
        <w:ind w:firstLine="708"/>
        <w:jc w:val="both"/>
      </w:pPr>
      <w:bookmarkStart w:id="0" w:name="__DdeLink__752_1438839786"/>
      <w:bookmarkEnd w:id="0"/>
      <w:r>
        <w:rPr>
          <w:rFonts w:ascii="Arial" w:hAnsi="Arial" w:cs="Arial"/>
          <w:b/>
          <w:sz w:val="20"/>
          <w:szCs w:val="20"/>
        </w:rPr>
        <w:tab/>
        <w:t xml:space="preserve">        NIP: 712-125-86-99</w:t>
      </w:r>
    </w:p>
    <w:p w:rsidR="009F1EC6" w:rsidRDefault="009F1EC6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9F1EC6" w:rsidRDefault="00484C3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Dystrybutor: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Konsorcjum Handlowe </w:t>
      </w:r>
      <w:proofErr w:type="spellStart"/>
      <w:r>
        <w:rPr>
          <w:rFonts w:ascii="Arial" w:hAnsi="Arial" w:cs="Arial"/>
          <w:sz w:val="20"/>
          <w:szCs w:val="20"/>
        </w:rPr>
        <w:t>Stofarb</w:t>
      </w:r>
      <w:proofErr w:type="spellEnd"/>
      <w:r>
        <w:rPr>
          <w:rFonts w:ascii="Arial" w:hAnsi="Arial" w:cs="Arial"/>
          <w:sz w:val="20"/>
          <w:szCs w:val="20"/>
        </w:rPr>
        <w:t xml:space="preserve"> S.A. </w:t>
      </w:r>
    </w:p>
    <w:p w:rsidR="009F1EC6" w:rsidRDefault="00484C37">
      <w:pPr>
        <w:ind w:left="3540"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 siedzibą 41-500 Chorzów ul. Gościnna 1 </w:t>
      </w:r>
    </w:p>
    <w:p w:rsidR="009F1EC6" w:rsidRDefault="00484C37">
      <w:pPr>
        <w:ind w:left="3540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NIP 627-23-38-259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</w:p>
    <w:p w:rsidR="009F1EC6" w:rsidRDefault="00484C37">
      <w:pPr>
        <w:pStyle w:val="Bezodstpw"/>
        <w:ind w:left="3540" w:hanging="3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1.4 Numer telefonu alarmowego:</w:t>
      </w:r>
      <w:r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</w:rPr>
        <w:t>112 (ogólny telefon alarmowy), 998 (straż pożarna), 999 (pogotowie medyczne).</w:t>
      </w:r>
    </w:p>
    <w:p w:rsidR="009F1EC6" w:rsidRDefault="009F1EC6">
      <w:pPr>
        <w:pStyle w:val="Bezodstpw"/>
        <w:ind w:left="3540" w:hanging="3540"/>
        <w:rPr>
          <w:rFonts w:ascii="Arial" w:hAnsi="Arial" w:cs="Arial"/>
          <w:sz w:val="20"/>
          <w:szCs w:val="20"/>
          <w:lang w:val="sk-SK"/>
        </w:rPr>
      </w:pPr>
    </w:p>
    <w:p w:rsidR="009F1EC6" w:rsidRDefault="009F1EC6">
      <w:pPr>
        <w:pStyle w:val="Bezodstpw"/>
        <w:ind w:left="3540" w:hanging="3540"/>
        <w:rPr>
          <w:rFonts w:ascii="Arial" w:hAnsi="Arial" w:cs="Arial"/>
          <w:b/>
          <w:sz w:val="20"/>
          <w:szCs w:val="20"/>
          <w:lang w:val="sk-SK"/>
        </w:rPr>
      </w:pPr>
    </w:p>
    <w:p w:rsidR="009F1EC6" w:rsidRDefault="00484C37">
      <w:pPr>
        <w:pStyle w:val="CM4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spacing w:before="60" w:after="6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SEKCJA 2: Identyfikacja zagrożeń </w:t>
      </w:r>
    </w:p>
    <w:p w:rsidR="009F1EC6" w:rsidRDefault="009F1EC6">
      <w:pPr>
        <w:pStyle w:val="Bezodstpw"/>
        <w:jc w:val="both"/>
        <w:rPr>
          <w:rFonts w:ascii="Arial" w:hAnsi="Arial" w:cs="Arial"/>
          <w:color w:val="000000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2.1 Klasyfikacja substancji lub mieszaniny</w:t>
      </w:r>
    </w:p>
    <w:p w:rsidR="009F1EC6" w:rsidRDefault="009F1EC6">
      <w:pPr>
        <w:pStyle w:val="Bezodstpw"/>
        <w:tabs>
          <w:tab w:val="left" w:pos="5880"/>
        </w:tabs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tabs>
          <w:tab w:val="left" w:pos="5880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Wg rozporządzenia 1272/2008:</w:t>
      </w:r>
    </w:p>
    <w:p w:rsidR="009F1EC6" w:rsidRDefault="00484C3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Mieszanina nie sklasyfikowana jako niebezpieczna. </w:t>
      </w:r>
    </w:p>
    <w:p w:rsidR="009F1EC6" w:rsidRDefault="009F1EC6">
      <w:pPr>
        <w:pStyle w:val="Bezodstpw"/>
        <w:tabs>
          <w:tab w:val="left" w:pos="5880"/>
        </w:tabs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tabs>
          <w:tab w:val="left" w:pos="588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Zagrożenie dla zdrowia człowieka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We właściwym stosowaniu nie stwarza zagrożenia dla zdrowia ludzi. 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Zagrożenie dla środowiska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Mieszanina nie zawiera składników sklasyfikowanych jako niebezpieczne dla środ</w:t>
      </w:r>
      <w:r>
        <w:rPr>
          <w:rFonts w:ascii="Arial" w:hAnsi="Arial" w:cs="Arial"/>
          <w:sz w:val="20"/>
          <w:szCs w:val="20"/>
        </w:rPr>
        <w:t xml:space="preserve">owiska. 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Zagrożenia fizyczne/chemiczne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Brak 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2.2 Elementy oznakowania: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hAnsi="Arial" w:cs="Arial"/>
          <w:b/>
          <w:color w:val="000000"/>
          <w:sz w:val="20"/>
          <w:szCs w:val="20"/>
          <w:lang w:eastAsia="pl-PL"/>
        </w:rPr>
        <w:t xml:space="preserve">Piktogramy </w:t>
      </w:r>
    </w:p>
    <w:p w:rsidR="009F1EC6" w:rsidRDefault="00484C3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Brak. </w:t>
      </w:r>
    </w:p>
    <w:p w:rsidR="009F1EC6" w:rsidRDefault="00484C37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Hasło ostrzegawcze: </w:t>
      </w:r>
    </w:p>
    <w:p w:rsidR="009F1EC6" w:rsidRDefault="00484C3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Brak. </w:t>
      </w:r>
    </w:p>
    <w:p w:rsidR="009F1EC6" w:rsidRDefault="00484C37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Zwroty wskazujące rodzaj zagrożenia:</w:t>
      </w:r>
    </w:p>
    <w:p w:rsidR="009F1EC6" w:rsidRDefault="00484C3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Brak. </w:t>
      </w:r>
    </w:p>
    <w:p w:rsidR="009F1EC6" w:rsidRDefault="00484C37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Zwroty określające warunki bezpiecznego stosowania:</w:t>
      </w:r>
    </w:p>
    <w:p w:rsidR="009F1EC6" w:rsidRDefault="00484C37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Brak. </w:t>
      </w:r>
    </w:p>
    <w:p w:rsidR="009F1EC6" w:rsidRDefault="009F1EC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F1EC6" w:rsidRDefault="00484C37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Inne informacje: </w:t>
      </w:r>
      <w:r>
        <w:rPr>
          <w:rFonts w:ascii="Arial" w:hAnsi="Arial" w:cs="Arial"/>
          <w:sz w:val="20"/>
          <w:szCs w:val="20"/>
        </w:rPr>
        <w:t xml:space="preserve">EUH210 – karta charakterystyki dostępna na żądanie </w:t>
      </w:r>
    </w:p>
    <w:p w:rsidR="009F1EC6" w:rsidRDefault="009F1EC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2.3 Inne zagrożenia:</w:t>
      </w:r>
    </w:p>
    <w:p w:rsidR="009F1EC6" w:rsidRDefault="00484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Brak dodatkowych zagrożeń</w:t>
      </w:r>
    </w:p>
    <w:p w:rsidR="009F1EC6" w:rsidRDefault="00484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Brak informacji na temat spełnienia kryteriów PBT lub </w:t>
      </w:r>
      <w:proofErr w:type="spellStart"/>
      <w:r>
        <w:rPr>
          <w:sz w:val="20"/>
          <w:szCs w:val="20"/>
        </w:rPr>
        <w:t>vPvB</w:t>
      </w:r>
      <w:proofErr w:type="spellEnd"/>
      <w:r>
        <w:rPr>
          <w:sz w:val="20"/>
          <w:szCs w:val="20"/>
        </w:rPr>
        <w:t xml:space="preserve"> zgodnie z załącznikiem XIII rozporządzenia REACH. Odpowiednie badania nie były przeprowadzone.</w:t>
      </w:r>
    </w:p>
    <w:p w:rsidR="009F1EC6" w:rsidRDefault="009F1EC6">
      <w:pPr>
        <w:pStyle w:val="Default"/>
        <w:jc w:val="both"/>
        <w:rPr>
          <w:sz w:val="20"/>
          <w:szCs w:val="20"/>
        </w:rPr>
      </w:pPr>
    </w:p>
    <w:p w:rsidR="009F1EC6" w:rsidRDefault="00484C37">
      <w:pPr>
        <w:pStyle w:val="CM4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spacing w:before="60" w:after="6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SEKCJA 3: Skład/informacja o składnikach 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3.1 Substancja:  </w:t>
      </w:r>
      <w:r>
        <w:rPr>
          <w:rFonts w:ascii="Arial" w:hAnsi="Arial" w:cs="Arial"/>
          <w:sz w:val="20"/>
          <w:szCs w:val="20"/>
        </w:rPr>
        <w:t>Nie dotyczy.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3.2 Mieszanina:  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Niebezpieczne składniki: 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Mieszanina nie zawiera składników sklasyfikowanych jako niebezpieczne.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9F1EC6" w:rsidRDefault="00484C37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SEKCJA 4: Środki pierwszej pomocy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4.1 Opis środków pierwszej </w:t>
      </w:r>
      <w:r>
        <w:rPr>
          <w:rFonts w:ascii="Arial" w:hAnsi="Arial" w:cs="Arial"/>
          <w:b/>
          <w:sz w:val="20"/>
          <w:szCs w:val="20"/>
        </w:rPr>
        <w:t>pomocy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przypadku kontaktu ze skórą: 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Umyć zabrudzoną skórę wodą z mydłem, spłukać dokładnie wodą, w przypadku pojawienia się podrażnienia, rumieni skontaktować się z lekarzem. 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przypadku kontaktu z oczami: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Przepłukać oczy przez kilkanaście minut (ok. 1</w:t>
      </w:r>
      <w:r>
        <w:rPr>
          <w:rFonts w:ascii="Arial" w:hAnsi="Arial" w:cs="Arial"/>
          <w:sz w:val="20"/>
          <w:szCs w:val="20"/>
        </w:rPr>
        <w:t>5) dużą ilością wody, trzymając powieki szeroko rozwarte. Unikać silnego strumienia, ze względu na niebezpieczeństwo uszkodzenia rogówki, skontaktować się z lekarzem.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Narażenie inhalacyjne: 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zawrotów głowy lub nudności wyprowadzić poszkodowanego na</w:t>
      </w:r>
      <w:r>
        <w:rPr>
          <w:rFonts w:ascii="Arial" w:hAnsi="Arial" w:cs="Arial"/>
          <w:sz w:val="20"/>
          <w:szCs w:val="20"/>
        </w:rPr>
        <w:t xml:space="preserve"> świeże powietrze, w razie braku szybkiej poprawy zasięgnąć porady lekarza.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przypadku połknięcia: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wywoływać wymiotów, przepłukać jamę ustną, podać do wypicia dużą ilość wody, w przypadku wystąpienia niepokojących objawów skontaktować się z lekarzem. 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4.2 Najważniejsze ostre i opóźnione objawy oraz skutki narażenia: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ze skórą: brak znanych szkodliwych oddziaływań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z oczami: brak znanych szkodliwych oddziaływań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Układ oddechowy: brak znanych szkodliwych oddziaływań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Przewód pokarmowy: spoży</w:t>
      </w:r>
      <w:r>
        <w:rPr>
          <w:rFonts w:ascii="Arial" w:hAnsi="Arial" w:cs="Arial"/>
          <w:sz w:val="20"/>
          <w:szCs w:val="20"/>
        </w:rPr>
        <w:t>cie może wywoływać objawy zatrucia pokarmowego, bóle żołądka, nudności, wymioty.</w:t>
      </w:r>
    </w:p>
    <w:p w:rsidR="009F1EC6" w:rsidRDefault="009F1EC6">
      <w:pPr>
        <w:pStyle w:val="Default"/>
        <w:jc w:val="both"/>
        <w:rPr>
          <w:b/>
          <w:bCs/>
          <w:sz w:val="20"/>
          <w:szCs w:val="20"/>
        </w:rPr>
      </w:pPr>
    </w:p>
    <w:p w:rsidR="009F1EC6" w:rsidRDefault="00484C37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4.3 Wskazania dotyczące wszelkiej natychmiastowej pomocy lekarskiej i szczególnego postępowania </w:t>
      </w:r>
      <w:r>
        <w:rPr>
          <w:b/>
          <w:sz w:val="20"/>
          <w:szCs w:val="20"/>
        </w:rPr>
        <w:br/>
        <w:t>z poszkodowanym:</w:t>
      </w:r>
    </w:p>
    <w:p w:rsidR="009F1EC6" w:rsidRDefault="00484C37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Decyzję o sposobie postępowania podejmuje lekarz po ocenie stanu poszkodowanego. </w:t>
      </w:r>
    </w:p>
    <w:p w:rsidR="009F1EC6" w:rsidRDefault="009F1EC6">
      <w:pPr>
        <w:pStyle w:val="Default"/>
        <w:jc w:val="both"/>
        <w:rPr>
          <w:sz w:val="20"/>
          <w:szCs w:val="20"/>
        </w:rPr>
      </w:pPr>
    </w:p>
    <w:p w:rsidR="009F1EC6" w:rsidRDefault="00484C37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  <w:color w:val="000000"/>
        </w:rPr>
        <w:t>SEKCJA 5: Postępowanie w przypadku pożaru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5.1 Środki gaśnicze: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Odpowiednie środki gaśnicze: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piana </w:t>
      </w:r>
      <w:proofErr w:type="spellStart"/>
      <w:r>
        <w:rPr>
          <w:rFonts w:ascii="Arial" w:hAnsi="Arial" w:cs="Arial"/>
          <w:sz w:val="20"/>
          <w:szCs w:val="20"/>
        </w:rPr>
        <w:t>alkoholoodporna</w:t>
      </w:r>
      <w:proofErr w:type="spellEnd"/>
      <w:r>
        <w:rPr>
          <w:rFonts w:ascii="Arial" w:hAnsi="Arial" w:cs="Arial"/>
          <w:sz w:val="20"/>
          <w:szCs w:val="20"/>
        </w:rPr>
        <w:t xml:space="preserve"> lub suche proszki gaśnicze (</w:t>
      </w:r>
      <w:proofErr w:type="spellStart"/>
      <w:r>
        <w:rPr>
          <w:rFonts w:ascii="Arial" w:hAnsi="Arial" w:cs="Arial"/>
          <w:sz w:val="20"/>
          <w:szCs w:val="20"/>
        </w:rPr>
        <w:t>A,B,C</w:t>
      </w:r>
      <w:proofErr w:type="spellEnd"/>
      <w:r>
        <w:rPr>
          <w:rFonts w:ascii="Arial" w:hAnsi="Arial" w:cs="Arial"/>
          <w:sz w:val="20"/>
          <w:szCs w:val="20"/>
        </w:rPr>
        <w:t xml:space="preserve">), dwutlenek węgla </w:t>
      </w:r>
      <w:r>
        <w:rPr>
          <w:rFonts w:ascii="Arial" w:hAnsi="Arial" w:cs="Arial"/>
          <w:sz w:val="20"/>
          <w:szCs w:val="20"/>
        </w:rPr>
        <w:t>(gaśnica śniegowa), piasek lub ziemia, mgła wodna. Stosować metody gaśnicze odpowiednie do warunków otoczenia.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Niewłaściwe środki gaśnicze: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Silny strumień wody.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5.2 Szczególne zagrożenia związane z substancją lub mieszaniną</w:t>
      </w:r>
      <w:r>
        <w:rPr>
          <w:rFonts w:ascii="Arial" w:hAnsi="Arial" w:cs="Arial"/>
          <w:sz w:val="20"/>
          <w:szCs w:val="20"/>
        </w:rPr>
        <w:t xml:space="preserve"> W trakcie pożaru, pod wpływem d</w:t>
      </w:r>
      <w:r>
        <w:rPr>
          <w:rFonts w:ascii="Arial" w:hAnsi="Arial" w:cs="Arial"/>
          <w:sz w:val="20"/>
          <w:szCs w:val="20"/>
        </w:rPr>
        <w:t>ziałania wysokich temperatur uwalniają się toksyczne produkty rozkładu zawierające min. tlenki węgla.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5.3 Informacje dla straży pożarnej: </w:t>
      </w:r>
      <w:r>
        <w:rPr>
          <w:rFonts w:ascii="Arial" w:hAnsi="Arial" w:cs="Arial"/>
          <w:sz w:val="20"/>
          <w:szCs w:val="20"/>
        </w:rPr>
        <w:t xml:space="preserve">Pojemniki znajdujące się w strefie pożaru chłodzić rozproszonym strumieniem wody, o ile jest to możliwe usunąć ze </w:t>
      </w:r>
      <w:r>
        <w:rPr>
          <w:rFonts w:ascii="Arial" w:hAnsi="Arial" w:cs="Arial"/>
          <w:sz w:val="20"/>
          <w:szCs w:val="20"/>
        </w:rPr>
        <w:t>strefy zagrożenia</w:t>
      </w:r>
      <w:r>
        <w:rPr>
          <w:rFonts w:ascii="Arial" w:hAnsi="Arial" w:cs="Arial"/>
          <w:color w:val="0000FF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W przypadku pożaru w zamkniętym pomieszczeniu należy stosować odzież ochronną i aparat oddechowy na sprężone powietrze</w:t>
      </w:r>
      <w:r>
        <w:rPr>
          <w:rFonts w:ascii="Arial" w:hAnsi="Arial" w:cs="Arial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Nie dopuszczać do przedostania się wody gaśniczej do wód powierzchniowych, gruntowych i kanalizacji. 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  <w:color w:val="000000"/>
        </w:rPr>
        <w:t>SEKCJA 6: Post</w:t>
      </w:r>
      <w:r>
        <w:rPr>
          <w:rFonts w:ascii="Arial" w:hAnsi="Arial" w:cs="Arial"/>
          <w:b/>
          <w:bCs/>
          <w:iCs/>
          <w:color w:val="000000"/>
        </w:rPr>
        <w:t>ępowanie w przypadku niezamierzonego uwolnienia do środowiska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6.1 Indywidualne środki ostrożności, sprzęt ochronny  i procedury w sytuacjach awaryjnych 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Dla osób nienależących do personelu udzielającego pomocy: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>awiadomić o awarii odpowiednie służby. Usun</w:t>
      </w:r>
      <w:r>
        <w:rPr>
          <w:rFonts w:ascii="Arial" w:hAnsi="Arial" w:cs="Arial"/>
          <w:sz w:val="20"/>
          <w:szCs w:val="20"/>
        </w:rPr>
        <w:t xml:space="preserve">ąć </w:t>
      </w:r>
      <w:r>
        <w:rPr>
          <w:rFonts w:ascii="Arial" w:hAnsi="Arial" w:cs="Arial"/>
          <w:sz w:val="20"/>
          <w:szCs w:val="20"/>
        </w:rPr>
        <w:br/>
        <w:t xml:space="preserve">z obszaru zagrożenia osoby niebiorące udziału w likwidacji awarii. 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Dla osób udzielających pomocy: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Zadbać o odpowiednią wentylację, stosować indywidualne środki ochrony. Nie wdychać par produktu.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6.2 Środki ostrożności w zakresie ochrony środowiska: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apobiegać rozprzestrzenianiu się oraz przedostaniu do kanalizacji i zbiorników wodnych, poinformować władze lokalne w przypadku niemożności zapewnienia ochrony.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6.3 Metody i materiały zapobiegające rozprzestrzenianiu się skażenia i służące do usuwania ska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żenia: 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Zapobiegać rozprzestrzenianiu się i usuwać poprzez zebranie na materiale absorpcyjnym (piasek, trociny, ziemia okrzemkowa, absorbent uniwersalny), zanieczyszczony materiał umieścić w odpowiednio oznakowanych pojemnikach w celu utylizacji zgodnie z </w:t>
      </w:r>
      <w:r>
        <w:rPr>
          <w:rFonts w:ascii="Arial" w:hAnsi="Arial" w:cs="Arial"/>
          <w:sz w:val="20"/>
          <w:szCs w:val="20"/>
        </w:rPr>
        <w:t xml:space="preserve"> obowiązującymi przepisami.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6.4 Odniesienia do innych sekcji 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Postępowanie z odpadami produktu – patrz sekcja 13 karty. Środki ochrony indywidualnej – patrz sekcja 8 karty.</w:t>
      </w:r>
    </w:p>
    <w:p w:rsidR="009F1EC6" w:rsidRDefault="00484C37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SEKCJA 7: Postępowanie z substancjami i mieszaninami oraz ich magazynowanie 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7.1 </w:t>
      </w:r>
      <w:r>
        <w:rPr>
          <w:rFonts w:ascii="Arial" w:hAnsi="Arial" w:cs="Arial"/>
          <w:b/>
          <w:color w:val="000000"/>
          <w:sz w:val="20"/>
          <w:szCs w:val="20"/>
        </w:rPr>
        <w:t>Środki ostrożności dotyczące bezpiecznego postępowania: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Unikać kontaktu z oczami. Unikać przedłużonego lub powtarzającego się kontaktu ze skórą. Unikać rozlewania. Unikać źródeł zapłonu, podwyższonej temperatury, gorących powierzchni i otwartego ognia. Uni</w:t>
      </w:r>
      <w:r>
        <w:rPr>
          <w:rFonts w:ascii="Arial" w:hAnsi="Arial" w:cs="Arial"/>
          <w:sz w:val="20"/>
          <w:szCs w:val="20"/>
        </w:rPr>
        <w:t xml:space="preserve">kać wdychania par produktu. Pracować zgodnie z zasadami bezpieczeństwa i higieny: nie spożywać pokarmów i napojów, nie palić </w:t>
      </w:r>
      <w:r>
        <w:rPr>
          <w:rFonts w:ascii="Arial" w:hAnsi="Arial" w:cs="Arial"/>
          <w:sz w:val="20"/>
          <w:szCs w:val="20"/>
        </w:rPr>
        <w:br/>
        <w:t>w miejscu pracy, myć ręce po użyciu, zdjąć zanieczyszczoną odzież i sprzęt ochronny przez wejściem do miejsc przeznaczonych do spo</w:t>
      </w:r>
      <w:r>
        <w:rPr>
          <w:rFonts w:ascii="Arial" w:hAnsi="Arial" w:cs="Arial"/>
          <w:sz w:val="20"/>
          <w:szCs w:val="20"/>
        </w:rPr>
        <w:t>żywania posiłków. Do wszystkich specyficznych rekomendacji kontrolowania zagrożeń przeprowadzić ocenę ryzyka zawodowego na stanowisku pracy w celu ustalenia środków zaradczych właściwych dla konkretnych warunków pracy.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7.2 Warunki bezpiecznego magazynowan</w:t>
      </w:r>
      <w:r>
        <w:rPr>
          <w:rFonts w:ascii="Arial" w:hAnsi="Arial" w:cs="Arial"/>
          <w:b/>
          <w:color w:val="000000"/>
          <w:sz w:val="20"/>
          <w:szCs w:val="20"/>
        </w:rPr>
        <w:t>ia, w tym informacje dotyczące wszelkich wzajemnych niezgodności: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Przechowywać w chłodnym, suchym, dobrze wentylowanym pomieszczeniu w prawidłowo oznakowanym szczelnie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zamkniętym oryginalnym pojemniku. Unikać bezpośredniego działania promieni słonecznych i</w:t>
      </w:r>
      <w:r>
        <w:rPr>
          <w:rFonts w:ascii="Arial" w:hAnsi="Arial" w:cs="Arial"/>
          <w:sz w:val="20"/>
          <w:szCs w:val="20"/>
        </w:rPr>
        <w:t xml:space="preserve"> źródeł ciepła, gorących powierzchni i otwartego ognia. Unikać kontaktu z silnymi kwasami, silnymi zasadami i silnymi środkami utleniającymi.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7.3 Szczególne zastosowanie(-a) końcowe: </w:t>
      </w:r>
      <w:r>
        <w:rPr>
          <w:rFonts w:ascii="Arial" w:hAnsi="Arial" w:cs="Arial"/>
          <w:sz w:val="20"/>
          <w:szCs w:val="20"/>
        </w:rPr>
        <w:t>Silikonowy  impregnat  do klinkieru i dachówki  ceramicznej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SEKCJA 8: K</w:t>
      </w:r>
      <w:r>
        <w:rPr>
          <w:rFonts w:ascii="Arial" w:hAnsi="Arial" w:cs="Arial"/>
          <w:b/>
        </w:rPr>
        <w:t>ontrola narażenia/środki ochrony indywidualnej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8.1 Parametry dotyczące kontroli: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Brak.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8.2 Kontrola narażenia: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Stosowne techniczne środki kontroli</w:t>
      </w:r>
      <w:r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zalecane jest stosowanie wentylacji ogólnej pomieszczenia.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Indywidualne środki ochrony, takie jak indywidu</w:t>
      </w:r>
      <w:r>
        <w:rPr>
          <w:rFonts w:ascii="Arial" w:hAnsi="Arial" w:cs="Arial"/>
          <w:b/>
          <w:iCs/>
          <w:color w:val="000000"/>
          <w:sz w:val="20"/>
          <w:szCs w:val="20"/>
        </w:rPr>
        <w:t>alny sprzęt ochronny</w:t>
      </w:r>
      <w:r>
        <w:rPr>
          <w:rFonts w:ascii="Arial" w:hAnsi="Arial" w:cs="Arial"/>
          <w:b/>
          <w:sz w:val="20"/>
          <w:szCs w:val="20"/>
        </w:rPr>
        <w:t>: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9F1EC6" w:rsidRDefault="00484C37">
      <w:pPr>
        <w:pStyle w:val="Bezodstpw"/>
        <w:ind w:left="2832" w:firstLine="708"/>
        <w:jc w:val="both"/>
        <w:rPr>
          <w:rFonts w:ascii="Arial" w:hAnsi="Arial" w:cs="Arial"/>
          <w:b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90550" cy="819150"/>
            <wp:effectExtent l="0" t="0" r="0" b="0"/>
            <wp:docPr id="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lang w:eastAsia="pl-PL"/>
        </w:rPr>
        <w:t xml:space="preserve"> </w:t>
      </w:r>
    </w:p>
    <w:p w:rsidR="009F1EC6" w:rsidRDefault="00484C37">
      <w:pPr>
        <w:pStyle w:val="Bezodstpw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Ochrona oczu  lub twarzy: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 wymagana w normalnych warunkach stosowania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Ochrona skóry:</w:t>
      </w:r>
    </w:p>
    <w:p w:rsidR="009F1EC6" w:rsidRDefault="00484C37">
      <w:pPr>
        <w:pStyle w:val="Bezodstpw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Ochrona rąk: </w:t>
      </w:r>
      <w:r>
        <w:rPr>
          <w:rFonts w:ascii="Arial" w:hAnsi="Arial" w:cs="Arial"/>
          <w:sz w:val="20"/>
          <w:szCs w:val="20"/>
        </w:rPr>
        <w:t>używać rękawic ochronnych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odpornych na działanie chemikaliów wykonanych z gumy naturalnej lub PVA, zgodnych z normą EN-PN </w:t>
      </w:r>
      <w:r>
        <w:rPr>
          <w:rFonts w:ascii="Arial" w:hAnsi="Arial" w:cs="Arial"/>
          <w:sz w:val="20"/>
          <w:szCs w:val="20"/>
        </w:rPr>
        <w:t>374:2005.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Materiał z jakiego wykonane są rękawice: 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odpowiednich rękawic nie zależy jedynie od materiału, ale też od marki i jakości wynikających z różnic producentów. Odporność materiału, z którego wykonane są rękawice może być określona po przeprow</w:t>
      </w:r>
      <w:r>
        <w:rPr>
          <w:rFonts w:ascii="Arial" w:hAnsi="Arial" w:cs="Arial"/>
          <w:sz w:val="20"/>
          <w:szCs w:val="20"/>
        </w:rPr>
        <w:t>adzeniu testów. Dokładny czas zniszczenia rękawic musi być ustalony przez producenta.</w:t>
      </w:r>
    </w:p>
    <w:p w:rsidR="009F1EC6" w:rsidRDefault="00484C37">
      <w:pPr>
        <w:pStyle w:val="Bezodstpw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Inne:  </w:t>
      </w:r>
      <w:r>
        <w:rPr>
          <w:rFonts w:ascii="Arial" w:hAnsi="Arial" w:cs="Arial"/>
          <w:sz w:val="20"/>
          <w:szCs w:val="20"/>
        </w:rPr>
        <w:t>Stosować roboczą odzież ochronną (zgodna z normą EN 344) – prać regularnie.</w:t>
      </w:r>
    </w:p>
    <w:p w:rsidR="009F1EC6" w:rsidRDefault="00484C37">
      <w:pPr>
        <w:pStyle w:val="Bezodstpw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Ochrona dróg oddechowych: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Unikać wdychania par produktu. 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Zagrożenia termiczne: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  <w:r>
        <w:rPr>
          <w:rFonts w:ascii="Arial" w:hAnsi="Arial" w:cs="Arial"/>
          <w:sz w:val="20"/>
          <w:szCs w:val="20"/>
        </w:rPr>
        <w:t>dotyczy.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  <w:sz w:val="20"/>
          <w:szCs w:val="20"/>
        </w:rPr>
        <w:t>Kontrola narażenia środowiska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dopuszczać do rozprzestrzeniania się w środowisku i przedostania się do kanalizacji i cieków wodnych.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SEKCJA 9: Właściwości fizyczne i chemiczne</w:t>
      </w:r>
    </w:p>
    <w:p w:rsidR="009F1EC6" w:rsidRDefault="009F1EC6">
      <w:pPr>
        <w:pStyle w:val="Bezodstpw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9.1 Informacje na temat podstawowych właściwości fizycznych i chem</w:t>
      </w:r>
      <w:r>
        <w:rPr>
          <w:rFonts w:ascii="Arial" w:hAnsi="Arial" w:cs="Arial"/>
          <w:b/>
          <w:color w:val="000000"/>
          <w:sz w:val="20"/>
          <w:szCs w:val="20"/>
        </w:rPr>
        <w:t>icznych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490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5246"/>
        <w:gridCol w:w="5244"/>
      </w:tblGrid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Wygląd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Ciecz 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Kolor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Zgodny ze specyfikacja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Zapach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Specyficzny dla produktu 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Próg wyczuwalności zapachu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określono 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 – 10.00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Temperatura topnienia/zakres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Temperatura wrzenia/zakres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ok.100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Temperatura zapłonu 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>
              <w:rPr>
                <w:rFonts w:ascii="Arial" w:hAnsi="Arial" w:cs="Arial"/>
                <w:sz w:val="20"/>
                <w:szCs w:val="20"/>
              </w:rPr>
              <w:t>określono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Temperatura palenia 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Szybkość parowania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Palność (ciało stałe, gaz)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Dolna granica wybuchowości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Górna granica wybuchowości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Prężność par w 20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Względna </w:t>
            </w:r>
            <w:r>
              <w:rPr>
                <w:rFonts w:ascii="Arial" w:hAnsi="Arial" w:cs="Arial"/>
                <w:sz w:val="20"/>
                <w:szCs w:val="20"/>
              </w:rPr>
              <w:t>gęstość par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Gęstość w temp. 20 </w:t>
            </w:r>
            <w:r>
              <w:rPr>
                <w:rFonts w:ascii="Symbol" w:hAnsi="Symbol" w:cs="Arial"/>
                <w:sz w:val="20"/>
                <w:szCs w:val="20"/>
              </w:rPr>
              <w:t>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1,03 g/cm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Rozpuszczalność w rozpuszczalnikach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Rozpuszczalny w wodzie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Współczynnik podziału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n-oktanol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/woda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Temperatura samozapłonu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ulega 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Temperatura rozkładu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Lepkość </w:t>
            </w:r>
            <w:r>
              <w:rPr>
                <w:rFonts w:ascii="Arial" w:hAnsi="Arial" w:cs="Arial"/>
                <w:sz w:val="20"/>
                <w:szCs w:val="20"/>
              </w:rPr>
              <w:t>dynamiczna w 25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Lepkość kinematyczna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Właściwości wybuchowe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  <w:tr w:rsidR="009F1EC6">
        <w:trPr>
          <w:trHeight w:val="453"/>
        </w:trPr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Właściwości utleniające 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9F1EC6" w:rsidRDefault="00484C3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określono</w:t>
            </w:r>
          </w:p>
        </w:tc>
      </w:tr>
    </w:tbl>
    <w:p w:rsidR="009F1EC6" w:rsidRDefault="009F1EC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9.2 Inne informacje:  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Brak dodatkowych wyników badań</w:t>
      </w:r>
    </w:p>
    <w:p w:rsidR="009F1EC6" w:rsidRDefault="009F1EC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9F1EC6" w:rsidRDefault="00484C37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  <w:color w:val="000000"/>
        </w:rPr>
        <w:t>SEKCJA 10: Stabilność i reaktywność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10.1 Reaktywność: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znana.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10.2 Stabilność chemiczna: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Produkt stabilny w normalnych warunkach stosowania, magazynowania i transportu.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10.3 Możliwość występowania niebezpiecznych reakcji: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Brak.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10.4 Warunki, których należy unikać: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Unikać podwyższonej temperatury, bezpośred</w:t>
      </w:r>
      <w:r>
        <w:rPr>
          <w:rFonts w:ascii="Arial" w:hAnsi="Arial" w:cs="Arial"/>
          <w:sz w:val="20"/>
          <w:szCs w:val="20"/>
        </w:rPr>
        <w:t xml:space="preserve">niego działania promieni słonecznych, gorących powierzchni </w:t>
      </w:r>
      <w:r>
        <w:rPr>
          <w:rFonts w:ascii="Arial" w:hAnsi="Arial" w:cs="Arial"/>
          <w:sz w:val="20"/>
          <w:szCs w:val="20"/>
        </w:rPr>
        <w:br/>
        <w:t xml:space="preserve">i otwartego ognia. </w:t>
      </w:r>
      <w:proofErr w:type="spellStart"/>
      <w:r>
        <w:rPr>
          <w:rFonts w:ascii="Arial" w:hAnsi="Arial" w:cs="Arial"/>
          <w:sz w:val="20"/>
          <w:szCs w:val="20"/>
        </w:rPr>
        <w:t>Chronic</w:t>
      </w:r>
      <w:proofErr w:type="spellEnd"/>
      <w:r>
        <w:rPr>
          <w:rFonts w:ascii="Arial" w:hAnsi="Arial" w:cs="Arial"/>
          <w:sz w:val="20"/>
          <w:szCs w:val="20"/>
        </w:rPr>
        <w:t xml:space="preserve"> przed mrozem.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10.5 Materiały niezgodne 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Silne kwasy, silne zasady, silne utleniacze.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10.6 Niebezpieczne produkty rozkładu: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wysokich temperaturach uwalniają się toksyc</w:t>
      </w:r>
      <w:r>
        <w:rPr>
          <w:rFonts w:ascii="Arial" w:hAnsi="Arial" w:cs="Arial"/>
          <w:sz w:val="20"/>
          <w:szCs w:val="20"/>
        </w:rPr>
        <w:t>zne produkty rozkładu – tlenki węgla.</w:t>
      </w:r>
    </w:p>
    <w:p w:rsidR="009F1EC6" w:rsidRDefault="009F1EC6">
      <w:pPr>
        <w:pStyle w:val="Bezodstpw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color w:val="000000"/>
        </w:rPr>
        <w:t>SEKCJA 11: Informacje toksykologiczne</w:t>
      </w:r>
    </w:p>
    <w:p w:rsidR="009F1EC6" w:rsidRDefault="009F1EC6">
      <w:pPr>
        <w:pStyle w:val="Bezodstpw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11.1 Informacje dotyczące skutków toksykologicznych:</w:t>
      </w:r>
    </w:p>
    <w:p w:rsidR="009F1EC6" w:rsidRDefault="00484C37">
      <w:pPr>
        <w:pStyle w:val="Bezodstpw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a) toksyczność ostra: nie wykazuje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b) działanie żrące/drażniące na skórę: nie wykazuje </w:t>
      </w:r>
    </w:p>
    <w:p w:rsidR="009F1EC6" w:rsidRDefault="00484C37">
      <w:pPr>
        <w:pStyle w:val="Bezodstpw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c) poważne uszkodzenie oczu/działanie</w:t>
      </w: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 drażniące na oczy: nie wykazuje</w:t>
      </w:r>
    </w:p>
    <w:p w:rsidR="009F1EC6" w:rsidRDefault="00484C37">
      <w:pPr>
        <w:pStyle w:val="Bezodstpw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 xml:space="preserve">d) działanie uczulające na drogi oddechowe lub skórę: </w:t>
      </w:r>
      <w:r>
        <w:rPr>
          <w:rFonts w:ascii="Arial" w:hAnsi="Arial" w:cs="Arial"/>
          <w:sz w:val="20"/>
          <w:szCs w:val="20"/>
          <w:lang w:eastAsia="pl-PL"/>
        </w:rPr>
        <w:t>nie wykazuje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e) działanie mutagenne na komórki rozrodcze: nie wykazuje</w:t>
      </w:r>
    </w:p>
    <w:p w:rsidR="009F1EC6" w:rsidRDefault="00484C37">
      <w:pPr>
        <w:pStyle w:val="Bezodstpw"/>
        <w:rPr>
          <w:rFonts w:ascii="Arial" w:hAnsi="Arial" w:cs="Arial"/>
          <w:color w:val="000000"/>
          <w:sz w:val="20"/>
          <w:szCs w:val="20"/>
          <w:lang w:eastAsia="pl-PL"/>
        </w:rPr>
      </w:pPr>
      <w:r>
        <w:rPr>
          <w:rFonts w:ascii="Arial" w:hAnsi="Arial" w:cs="Arial"/>
          <w:color w:val="000000"/>
          <w:sz w:val="20"/>
          <w:szCs w:val="20"/>
          <w:lang w:eastAsia="pl-PL"/>
        </w:rPr>
        <w:t>f) rakotwórczość: nie wykazuje.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g) szkodliwe działanie na rozrodczość: nie wykazuje </w:t>
      </w:r>
    </w:p>
    <w:p w:rsidR="009F1EC6" w:rsidRDefault="00484C37">
      <w:pPr>
        <w:pStyle w:val="Bezodstpw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h) </w:t>
      </w:r>
      <w:r>
        <w:rPr>
          <w:rFonts w:ascii="Arial" w:hAnsi="Arial" w:cs="Arial"/>
          <w:color w:val="000000"/>
          <w:sz w:val="20"/>
          <w:szCs w:val="20"/>
        </w:rPr>
        <w:t xml:space="preserve">działanie </w:t>
      </w:r>
      <w:r>
        <w:rPr>
          <w:rFonts w:ascii="Arial" w:hAnsi="Arial" w:cs="Arial"/>
          <w:color w:val="000000"/>
          <w:sz w:val="20"/>
          <w:szCs w:val="20"/>
        </w:rPr>
        <w:t>toksyczne na narządy docelowe – narażenie jednorazowe: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nie wykazuje </w:t>
      </w:r>
    </w:p>
    <w:p w:rsidR="009F1EC6" w:rsidRDefault="00484C37">
      <w:pPr>
        <w:pStyle w:val="Bezodstpw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i) działanie toksyczne na narządy docelowe – narażenie powtarzane: </w:t>
      </w:r>
      <w:r>
        <w:rPr>
          <w:rFonts w:ascii="Arial" w:hAnsi="Arial" w:cs="Arial"/>
          <w:sz w:val="20"/>
          <w:szCs w:val="20"/>
          <w:lang w:eastAsia="pl-PL"/>
        </w:rPr>
        <w:t xml:space="preserve">nie wykazuje </w:t>
      </w:r>
    </w:p>
    <w:p w:rsidR="009F1EC6" w:rsidRDefault="00484C37">
      <w:pPr>
        <w:pStyle w:val="Bezodstpw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j) zagrożenie spowodowane aspiracją: </w:t>
      </w:r>
      <w:r>
        <w:rPr>
          <w:rFonts w:ascii="Arial" w:hAnsi="Arial" w:cs="Arial"/>
          <w:sz w:val="20"/>
          <w:szCs w:val="20"/>
          <w:lang w:eastAsia="pl-PL"/>
        </w:rPr>
        <w:t>nie wykazuje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iCs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Informacje dotyczące prawdopodobnych dróg narażenia: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ze skórą: brak znanych szkodliwych oddziaływań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z oczami: brak znanych szkodliwych oddziaływań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Układ oddechowy: brak znanych szkodliwych oddziaływań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Przewód pokarmowy: spożycie może wywoływać objawy zatrucia pokarmowego, bóle żołądka, nudnoś</w:t>
      </w:r>
      <w:r>
        <w:rPr>
          <w:rFonts w:ascii="Arial" w:hAnsi="Arial" w:cs="Arial"/>
          <w:sz w:val="20"/>
          <w:szCs w:val="20"/>
        </w:rPr>
        <w:t>ci, wymioty.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iCs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Opóźnione, bezpośrednie oraz przewlekłe skutki krótko- i długotrwałego narażenia: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danych.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Skutki wzajemnego oddziaływania: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Brak danych.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SEKCJA 12: Informacje ekologiczne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Mieszanina nie zawiera składników sklasyfikowanych jako </w:t>
      </w:r>
      <w:r>
        <w:rPr>
          <w:rFonts w:ascii="Arial" w:hAnsi="Arial" w:cs="Arial"/>
          <w:sz w:val="20"/>
          <w:szCs w:val="20"/>
        </w:rPr>
        <w:t>niebezpieczne dla środowiska. Nie należy dopuszczać do przedostania dużych ilości produktu się do wód gruntowych, kanalizacji i cieków wodnych.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12.1 Toksyczność: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danych.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12.2 Trwałość i zdolność do rozkładu: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danych.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12.3 Zdolność do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bioakumulacj</w:t>
      </w:r>
      <w:r>
        <w:rPr>
          <w:rFonts w:ascii="Arial" w:hAnsi="Arial" w:cs="Arial"/>
          <w:b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danych.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12.4 Mobilność w glebie: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danych.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12.5 Wyniki oceny właściwości PBT i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vPvB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danych.</w:t>
      </w:r>
    </w:p>
    <w:p w:rsidR="009F1EC6" w:rsidRDefault="00484C37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12.6 Inne szkodliwe skutki działania: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 danych.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SEKCJA 13: Postępowanie z odpadami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13.1 Metody unieszkodliwiania odpadów: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Unieszkodliwianiem </w:t>
      </w:r>
      <w:r>
        <w:rPr>
          <w:rFonts w:ascii="Arial" w:hAnsi="Arial" w:cs="Arial"/>
          <w:sz w:val="20"/>
          <w:szCs w:val="20"/>
        </w:rPr>
        <w:t xml:space="preserve">odpadów i opakowań jednorazowych powinny się zająć wyspecjalizowane firmy, sposób unieszkodliwiania odpadów należy uzgodnić z właściwymi terenowo wydziałem ochrony środowiska. Pozostałość </w:t>
      </w:r>
      <w:r>
        <w:rPr>
          <w:rFonts w:ascii="Arial" w:hAnsi="Arial" w:cs="Arial"/>
          <w:sz w:val="20"/>
          <w:szCs w:val="20"/>
        </w:rPr>
        <w:lastRenderedPageBreak/>
        <w:t>składować w oryginalnych pojemnikach. Unieszkodliwiać zgodnie z obow</w:t>
      </w:r>
      <w:r>
        <w:rPr>
          <w:rFonts w:ascii="Arial" w:hAnsi="Arial" w:cs="Arial"/>
          <w:sz w:val="20"/>
          <w:szCs w:val="20"/>
        </w:rPr>
        <w:t>iązującymi przepisami. Puste, opróżnione opakowania należy poddać utylizacji zgodnie z obowiązującymi przepisami lub dostarczyć na odpowiednie wysypisko śmieci. Rozporządzenie Ministra Środowiska z dnia 27 września 2001r w sprawie katalogu odpadów (DZ.U. N</w:t>
      </w:r>
      <w:r>
        <w:rPr>
          <w:rFonts w:ascii="Arial" w:hAnsi="Arial" w:cs="Arial"/>
          <w:sz w:val="20"/>
          <w:szCs w:val="20"/>
        </w:rPr>
        <w:t>r 112, poz. 1206). Dyrektywa Rady Nr 75/442/EEC w sprawie odpadów.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color w:val="000000"/>
        </w:rPr>
        <w:t>SEKCJA 14: Informacje dotyczące transportu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14.1 Numer UN (numer ONZ)</w:t>
      </w:r>
      <w:r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Nie dotyczy, produkt niesklasyfikowany jako niebezpieczny podczas transportu. 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14.2.Prawidłowa nazwa przewozowa UN: </w:t>
      </w:r>
      <w:r>
        <w:rPr>
          <w:rFonts w:ascii="Arial" w:hAnsi="Arial" w:cs="Arial"/>
          <w:sz w:val="20"/>
          <w:szCs w:val="20"/>
        </w:rPr>
        <w:t xml:space="preserve">Nie dotyczy, produkt niesklasyfikowany jako niebezpieczny podczas transportu. 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14.3 Kla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sa(-y) zagrożenia w transporcie: </w:t>
      </w:r>
      <w:r>
        <w:rPr>
          <w:rFonts w:ascii="Arial" w:hAnsi="Arial" w:cs="Arial"/>
          <w:sz w:val="20"/>
          <w:szCs w:val="20"/>
        </w:rPr>
        <w:t xml:space="preserve">Nie dotyczy, produkt niesklasyfikowany jako niebezpieczny podczas transportu. 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14.4 Grupa opakowaniowa: </w:t>
      </w:r>
      <w:r>
        <w:rPr>
          <w:rFonts w:ascii="Arial" w:hAnsi="Arial" w:cs="Arial"/>
          <w:sz w:val="20"/>
          <w:szCs w:val="20"/>
        </w:rPr>
        <w:t xml:space="preserve">Nie dotyczy, produkt niesklasyfikowany jako niebezpieczny podczas transportu. 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14.5 Zagrożenia dla środowiska: </w:t>
      </w:r>
      <w:r>
        <w:rPr>
          <w:rFonts w:ascii="Arial" w:hAnsi="Arial" w:cs="Arial"/>
          <w:sz w:val="20"/>
          <w:szCs w:val="20"/>
        </w:rPr>
        <w:t xml:space="preserve">Nie dotyczy, produkt niesklasyfikowany jako niebezpieczny podczas transportu. 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14.6 Szczególne środ</w:t>
      </w:r>
      <w:r>
        <w:rPr>
          <w:rFonts w:ascii="Arial" w:hAnsi="Arial" w:cs="Arial"/>
          <w:b/>
          <w:color w:val="000000"/>
          <w:sz w:val="20"/>
          <w:szCs w:val="20"/>
        </w:rPr>
        <w:t xml:space="preserve">ki ostrożności dla użytkowników: </w:t>
      </w:r>
      <w:r>
        <w:rPr>
          <w:rFonts w:ascii="Arial" w:hAnsi="Arial" w:cs="Arial"/>
          <w:sz w:val="20"/>
          <w:szCs w:val="20"/>
        </w:rPr>
        <w:t>Nie dotyczy</w:t>
      </w:r>
      <w:r>
        <w:rPr>
          <w:rFonts w:ascii="Arial" w:hAnsi="Arial" w:cs="Arial"/>
          <w:sz w:val="20"/>
          <w:szCs w:val="20"/>
        </w:rPr>
        <w:t xml:space="preserve">, produkt niesklasyfikowany jako niebezpieczny podczas transportu. 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14.7 Transport luzem zgodnie z załącznikiem II do konwen</w:t>
      </w:r>
      <w:r>
        <w:rPr>
          <w:rFonts w:ascii="Arial" w:hAnsi="Arial" w:cs="Arial"/>
          <w:b/>
          <w:color w:val="000000"/>
          <w:sz w:val="20"/>
          <w:szCs w:val="20"/>
        </w:rPr>
        <w:t xml:space="preserve">cji MARPOL 73/78 i kodeksem IBC: </w:t>
      </w:r>
      <w:r>
        <w:rPr>
          <w:rFonts w:ascii="Arial" w:hAnsi="Arial" w:cs="Arial"/>
          <w:sz w:val="20"/>
          <w:szCs w:val="20"/>
        </w:rPr>
        <w:t xml:space="preserve">Nie dotyczy, produkt niesklasyfikowany jako niebezpieczny podczas transportu. </w:t>
      </w:r>
    </w:p>
    <w:p w:rsidR="009F1EC6" w:rsidRDefault="009F1EC6">
      <w:pPr>
        <w:pStyle w:val="Bezodstpw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  <w:color w:val="000000"/>
        </w:rPr>
        <w:t>SEKCJA 15: Informa</w:t>
      </w:r>
      <w:r>
        <w:rPr>
          <w:rFonts w:ascii="Arial" w:hAnsi="Arial" w:cs="Arial"/>
          <w:b/>
          <w:bCs/>
          <w:iCs/>
          <w:color w:val="000000"/>
        </w:rPr>
        <w:t>cje dotyczące przepisów prawnych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15.1 Przepisy prawne dotyczące bezpieczeństwa, zdrowia i ochrony środowiska specyficzne dla substancji lub mieszaniny: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F1EC6" w:rsidRDefault="00484C37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Rozporządzenie (WE) nr 1907/2006 Parlamentu Europejskiego i Rady z dnia 18 grudnia 2006r w sprawie rej</w:t>
      </w:r>
      <w:r>
        <w:rPr>
          <w:rFonts w:ascii="Arial" w:hAnsi="Arial" w:cs="Arial"/>
          <w:sz w:val="20"/>
          <w:szCs w:val="20"/>
        </w:rPr>
        <w:t xml:space="preserve">estracji, oceny, udzielania zezwoleń, stosowanych ograniczeń w zakresie chemikaliów (REACH)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 </w:t>
      </w:r>
    </w:p>
    <w:p w:rsidR="009F1EC6" w:rsidRDefault="00484C37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ROZPORZĄDZENIE KOMISJI (UE) 2015/830 z dnia 28 maja 2015 r. zmieniające rozporządzenie (WE) nr 1907/2006 Parlamentu Europejskiego i Rady w sprawie reje</w:t>
      </w:r>
      <w:r>
        <w:rPr>
          <w:rFonts w:ascii="Arial" w:hAnsi="Arial" w:cs="Arial"/>
          <w:bCs/>
          <w:color w:val="000000"/>
          <w:sz w:val="20"/>
          <w:szCs w:val="20"/>
        </w:rPr>
        <w:t>stracji, oceny, udzielania zezwoleń i stosowanych ograniczeń w zakresie chemikaliów (REACH)</w:t>
      </w:r>
    </w:p>
    <w:p w:rsidR="009F1EC6" w:rsidRDefault="00484C37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Rozporządzenie Parlamentu Europejskiego i Rady z dnia 16 grudnia 2008r nr 1272/2008 (CLP)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 </w:t>
      </w:r>
    </w:p>
    <w:p w:rsidR="009F1EC6" w:rsidRDefault="00484C37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Ustawa z dnia 25 lutego 2011r. o substancjach chemicznych i ich mieszaninach (DZ.U. Nr 63, poz. 322.z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zm.). </w:t>
      </w:r>
    </w:p>
    <w:p w:rsidR="009F1EC6" w:rsidRDefault="00484C37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Rozporządzenie Ministra Zdrowia z dnia 10 października 2013 r. zmieniające rozporządzenie w sprawie kategorii substancji niebezpiecznych i mi</w:t>
      </w:r>
      <w:r>
        <w:rPr>
          <w:rFonts w:ascii="Arial" w:hAnsi="Arial" w:cs="Arial"/>
          <w:sz w:val="20"/>
          <w:szCs w:val="20"/>
        </w:rPr>
        <w:t>eszanin niebezpiecznych, których opakowania wyposaża się w zamknięcia utrudniające otwarcie przez dzieci i wyczuwalne dotykiem ostrzeżenie o niebezpieczeństwie (Dz. U. 2013 nr 0 poz. 1225)</w:t>
      </w:r>
    </w:p>
    <w:p w:rsidR="009F1EC6" w:rsidRDefault="00484C37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Ustawa z dnia 14 grudnia 2012 r. o odpadach (Dz. U. 2013 nr 0 poz. 21). </w:t>
      </w:r>
    </w:p>
    <w:p w:rsidR="009F1EC6" w:rsidRDefault="00484C37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Ustawa z dnia 13 czerwca 2013r o gospodarce opakowaniami i odpadami opakowaniowymi (DZ.U. 2013, poz. 888). </w:t>
      </w:r>
    </w:p>
    <w:p w:rsidR="009F1EC6" w:rsidRDefault="00484C37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Rozporządzenie Ministra Środowiska z dnia 9 września 2014r w sprawie katalo</w:t>
      </w:r>
      <w:r>
        <w:rPr>
          <w:rFonts w:ascii="Arial" w:hAnsi="Arial" w:cs="Arial"/>
          <w:sz w:val="20"/>
          <w:szCs w:val="20"/>
        </w:rPr>
        <w:t xml:space="preserve">gu odpadów (DZ.U. poz. 1923). </w:t>
      </w:r>
    </w:p>
    <w:p w:rsidR="009F1EC6" w:rsidRDefault="00484C37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Dyrektywa Rady Nr 75/442/EEC w sprawie odpadów, Dyrektywa Rady Nr 91/689/EEC w sprawie odpadów niebezpiecznych, Decyzja komisji Nr 2000/532/EC z 3 maja 2000r podająca wykaz odpadów, OJ Nr L 226/3 z 6 września 2000r, wraz z de</w:t>
      </w:r>
      <w:r>
        <w:rPr>
          <w:rFonts w:ascii="Arial" w:hAnsi="Arial" w:cs="Arial"/>
          <w:sz w:val="20"/>
          <w:szCs w:val="20"/>
        </w:rPr>
        <w:t xml:space="preserve">cyzjami zmieniającymi. </w:t>
      </w:r>
    </w:p>
    <w:p w:rsidR="009F1EC6" w:rsidRDefault="00484C37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Ustawa z dnia 19 sierpnia 2011 r. o przewozie towarów niebezpiecznych (DZ.U. Nr 227, poz. 1367) </w:t>
      </w:r>
    </w:p>
    <w:p w:rsidR="009F1EC6" w:rsidRDefault="00484C37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Rządowe z dnia 23 marca 2011 r. w sprawie wejścia w życie zmian do załączników A i B Umowy europejskiej dotyczącej międzyn</w:t>
      </w:r>
      <w:r>
        <w:rPr>
          <w:rFonts w:ascii="Arial" w:hAnsi="Arial" w:cs="Arial"/>
          <w:sz w:val="20"/>
          <w:szCs w:val="20"/>
        </w:rPr>
        <w:t>arodowego przewozu drogowego towarów niebezpiecznych (ADR), sporządzonej w Genewie dnia 30 września 1957 r. (DZ.U. Nr 110, poz. 641).</w:t>
      </w:r>
    </w:p>
    <w:p w:rsidR="009F1EC6" w:rsidRDefault="00484C37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Rozporządzenie Ministra Pracy i Polityki Społecznej z dnia 6 czerwca 2014r w sprawie najwyższych dopuszczalnych stężeń i n</w:t>
      </w:r>
      <w:r>
        <w:rPr>
          <w:rFonts w:ascii="Arial" w:hAnsi="Arial" w:cs="Arial"/>
          <w:sz w:val="20"/>
          <w:szCs w:val="20"/>
        </w:rPr>
        <w:t>atężeń czynników szkodliwych dla zdrowia w środowisku pracy (DZ.U. poz. 817).</w:t>
      </w:r>
    </w:p>
    <w:p w:rsidR="009F1EC6" w:rsidRDefault="00484C37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Rozporządzenie Ministra Zdrowia z dnia 30 grudnia 2004r w sprawie bezpieczeństwa i higieny pracy związanej z występowaniem w miejscu pracy czynników chemicznych (Dz. U. z 2005 r.</w:t>
      </w:r>
      <w:r>
        <w:rPr>
          <w:rFonts w:ascii="Arial" w:hAnsi="Arial" w:cs="Arial"/>
          <w:sz w:val="20"/>
          <w:szCs w:val="20"/>
        </w:rPr>
        <w:t xml:space="preserve"> Nr 11, poz. 86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zm.). </w:t>
      </w:r>
    </w:p>
    <w:p w:rsidR="009F1EC6" w:rsidRDefault="00484C37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Rozporządzenie Ministra Środowiska z dnia 9 grudnia 2003r w sprawie substancji stwarzających szczególne zagrożenie dla środowiska (DZ.U. Nr 217, poz.2141). </w:t>
      </w:r>
    </w:p>
    <w:p w:rsidR="009F1EC6" w:rsidRDefault="009F1EC6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15.2 Ocena bezpieczeństwa chemicznego: </w:t>
      </w:r>
      <w:r>
        <w:rPr>
          <w:rFonts w:ascii="Arial" w:hAnsi="Arial" w:cs="Arial"/>
          <w:sz w:val="20"/>
          <w:szCs w:val="20"/>
        </w:rPr>
        <w:t>Brak oceny bezpieczeństwa ch</w:t>
      </w:r>
      <w:r>
        <w:rPr>
          <w:rFonts w:ascii="Arial" w:hAnsi="Arial" w:cs="Arial"/>
          <w:sz w:val="20"/>
          <w:szCs w:val="20"/>
        </w:rPr>
        <w:t xml:space="preserve">emicznego dla mieszaniny. 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EEECE1"/>
        <w:jc w:val="both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SEKCJA 16: Inne informacje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Zwroty H:</w:t>
      </w:r>
    </w:p>
    <w:p w:rsidR="009F1EC6" w:rsidRDefault="00484C3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</w:t>
      </w:r>
    </w:p>
    <w:p w:rsidR="009F1EC6" w:rsidRDefault="00484C37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eastAsia="pl-PL"/>
        </w:rPr>
      </w:pPr>
      <w:r>
        <w:rPr>
          <w:rFonts w:ascii="Arial" w:hAnsi="Arial" w:cs="Arial"/>
          <w:b/>
          <w:sz w:val="20"/>
          <w:szCs w:val="20"/>
          <w:u w:val="single"/>
          <w:lang w:eastAsia="pl-PL"/>
        </w:rPr>
        <w:t>Opis użytych skrótów, akronimów i symboli:</w:t>
      </w:r>
    </w:p>
    <w:p w:rsidR="009F1EC6" w:rsidRDefault="00484C37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Brak</w:t>
      </w:r>
    </w:p>
    <w:p w:rsidR="009F1EC6" w:rsidRDefault="009F1EC6">
      <w:pPr>
        <w:pStyle w:val="Bezodstpw"/>
        <w:rPr>
          <w:rFonts w:ascii="Arial" w:hAnsi="Arial" w:cs="Arial"/>
          <w:b/>
          <w:sz w:val="20"/>
          <w:szCs w:val="20"/>
        </w:rPr>
      </w:pPr>
    </w:p>
    <w:p w:rsidR="009F1EC6" w:rsidRDefault="00484C37">
      <w:pPr>
        <w:pStyle w:val="Bezodstpw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Szkolenia: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są wymagane.</w:t>
      </w:r>
    </w:p>
    <w:p w:rsidR="009F1EC6" w:rsidRDefault="009F1EC6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9F1EC6" w:rsidRDefault="009F1EC6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KARTA CHARAKTERYSTYKI – </w:t>
      </w:r>
      <w:r>
        <w:rPr>
          <w:rFonts w:ascii="Arial" w:hAnsi="Arial" w:cs="Arial"/>
          <w:b/>
          <w:i/>
          <w:sz w:val="20"/>
          <w:szCs w:val="20"/>
          <w:u w:val="single"/>
        </w:rPr>
        <w:t>MAXKLINKIER</w:t>
      </w:r>
    </w:p>
    <w:p w:rsidR="009F1EC6" w:rsidRDefault="009F1EC6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Wydanie z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01.01.2013</w:t>
      </w:r>
    </w:p>
    <w:p w:rsidR="009F1EC6" w:rsidRDefault="00484C37">
      <w:pPr>
        <w:pStyle w:val="Bezodstpw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Wersja PL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3.0 z dnia 18.01.2016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9F1EC6">
      <w:pPr>
        <w:pStyle w:val="Bezodstpw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9F1EC6" w:rsidRDefault="00484C37">
      <w:pPr>
        <w:pStyle w:val="Bezodstpw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MATERIAŁY ŹRÓDŁOWE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do Rozporządzenia (UE) 2015/830 z dnia 28 maja 2015 r.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Przepisy prawne przytoczone w pkt. 15 karty</w:t>
      </w:r>
    </w:p>
    <w:p w:rsidR="009F1EC6" w:rsidRDefault="00484C37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Biura do Spraw Substancji Chemicznych.</w:t>
      </w:r>
    </w:p>
    <w:p w:rsidR="009F1EC6" w:rsidRDefault="00484C37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Karty charakterystyki producenta mieszaniny – MAXKLINKIER.</w:t>
      </w:r>
    </w:p>
    <w:p w:rsidR="009F1EC6" w:rsidRDefault="009F1EC6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:rsidR="009F1EC6" w:rsidRDefault="00484C37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Informacje zawarte</w:t>
      </w:r>
      <w:r>
        <w:rPr>
          <w:rFonts w:ascii="Arial" w:hAnsi="Arial" w:cs="Arial"/>
          <w:sz w:val="20"/>
          <w:szCs w:val="20"/>
        </w:rPr>
        <w:t xml:space="preserve"> w karcie charakterystyki dotyczą wyłącznie produktu wymienionego w tytule. Dane zawarte </w:t>
      </w:r>
      <w:r>
        <w:rPr>
          <w:rFonts w:ascii="Arial" w:hAnsi="Arial" w:cs="Arial"/>
          <w:sz w:val="20"/>
          <w:szCs w:val="20"/>
        </w:rPr>
        <w:br/>
        <w:t xml:space="preserve">w karcie należy traktować wyłącznie jako pomoc dla bezpiecznego stosowania produktu </w:t>
      </w:r>
      <w:r>
        <w:rPr>
          <w:rFonts w:ascii="Arial" w:hAnsi="Arial" w:cs="Arial"/>
          <w:b/>
          <w:sz w:val="20"/>
          <w:szCs w:val="20"/>
        </w:rPr>
        <w:t xml:space="preserve">MAXKLINKIER. </w:t>
      </w:r>
      <w:r>
        <w:rPr>
          <w:rFonts w:ascii="Arial" w:hAnsi="Arial" w:cs="Arial"/>
          <w:sz w:val="20"/>
          <w:szCs w:val="20"/>
        </w:rPr>
        <w:t>Ponieważ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warunki magazynowania, transportu i stosowania są poza naszą</w:t>
      </w:r>
      <w:r>
        <w:rPr>
          <w:rFonts w:ascii="Arial" w:hAnsi="Arial" w:cs="Arial"/>
          <w:sz w:val="20"/>
          <w:szCs w:val="20"/>
        </w:rPr>
        <w:t xml:space="preserve"> kontrolą, nie mogą stanowić gwarancji w sensie prawnym. W każdym przypadku należy przestrzegać przepisów ustawowych i ewentualnych praw osób trzecich. </w:t>
      </w:r>
      <w:r>
        <w:rPr>
          <w:rFonts w:ascii="Arial" w:hAnsi="Arial" w:cs="Arial"/>
          <w:i/>
          <w:sz w:val="20"/>
          <w:szCs w:val="20"/>
        </w:rPr>
        <w:t>Karta nie stanowi oszacowania zagrożeń w miejscu pracy</w:t>
      </w:r>
      <w:r>
        <w:rPr>
          <w:rFonts w:ascii="Arial" w:hAnsi="Arial" w:cs="Arial"/>
          <w:sz w:val="20"/>
          <w:szCs w:val="20"/>
        </w:rPr>
        <w:t>. Produktu nie należy wykorzystywać do innych celó</w:t>
      </w:r>
      <w:r>
        <w:rPr>
          <w:rFonts w:ascii="Arial" w:hAnsi="Arial" w:cs="Arial"/>
          <w:sz w:val="20"/>
          <w:szCs w:val="20"/>
        </w:rPr>
        <w:t xml:space="preserve">w niż podane w sekcji 1 bez uprzedniej konsultacji z firmą </w:t>
      </w:r>
      <w:r>
        <w:rPr>
          <w:rFonts w:ascii="Arial" w:hAnsi="Arial" w:cs="Arial"/>
          <w:b/>
          <w:sz w:val="20"/>
          <w:szCs w:val="20"/>
        </w:rPr>
        <w:t xml:space="preserve">CHEMAX ROBERT BIELAK. </w:t>
      </w:r>
    </w:p>
    <w:p w:rsidR="009F1EC6" w:rsidRDefault="009F1EC6">
      <w:pPr>
        <w:pStyle w:val="Bezodstpw"/>
        <w:rPr>
          <w:rFonts w:ascii="Arial" w:hAnsi="Arial" w:cs="Arial"/>
          <w:sz w:val="20"/>
          <w:szCs w:val="20"/>
        </w:rPr>
      </w:pPr>
    </w:p>
    <w:p w:rsidR="009F1EC6" w:rsidRDefault="00484C37">
      <w:pPr>
        <w:pStyle w:val="Bezodstpw"/>
      </w:pPr>
      <w:r>
        <w:rPr>
          <w:rFonts w:ascii="Arial" w:hAnsi="Arial" w:cs="Arial"/>
          <w:sz w:val="20"/>
          <w:szCs w:val="20"/>
        </w:rPr>
        <w:t xml:space="preserve">Opracowano w SPIN-DORADZTWO </w:t>
      </w:r>
      <w:hyperlink r:id="rId9">
        <w:r>
          <w:rPr>
            <w:rStyle w:val="czeinternetowe"/>
            <w:rFonts w:ascii="Arial" w:hAnsi="Arial" w:cs="Arial"/>
            <w:sz w:val="20"/>
            <w:szCs w:val="20"/>
          </w:rPr>
          <w:t>www.spin-doradztwo.pl</w:t>
        </w:r>
      </w:hyperlink>
      <w:r>
        <w:rPr>
          <w:rFonts w:ascii="Arial" w:hAnsi="Arial" w:cs="Arial"/>
          <w:sz w:val="20"/>
          <w:szCs w:val="20"/>
        </w:rPr>
        <w:t xml:space="preserve"> dla </w:t>
      </w:r>
      <w:r>
        <w:rPr>
          <w:rFonts w:ascii="Arial" w:hAnsi="Arial" w:cs="Arial"/>
          <w:b/>
          <w:sz w:val="20"/>
          <w:szCs w:val="20"/>
        </w:rPr>
        <w:t>CHEMAX ROBERT BIELAK.</w:t>
      </w:r>
    </w:p>
    <w:p w:rsidR="009F1EC6" w:rsidRDefault="009F1EC6">
      <w:pPr>
        <w:pStyle w:val="Bezodstpw"/>
      </w:pPr>
    </w:p>
    <w:sectPr w:rsidR="009F1EC6" w:rsidSect="009F1EC6">
      <w:headerReference w:type="default" r:id="rId10"/>
      <w:footerReference w:type="default" r:id="rId11"/>
      <w:pgSz w:w="11906" w:h="16838"/>
      <w:pgMar w:top="595" w:right="720" w:bottom="720" w:left="720" w:header="284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EC6" w:rsidRDefault="009F1EC6" w:rsidP="009F1EC6">
      <w:pPr>
        <w:spacing w:after="0" w:line="240" w:lineRule="auto"/>
      </w:pPr>
      <w:r>
        <w:separator/>
      </w:r>
    </w:p>
  </w:endnote>
  <w:endnote w:type="continuationSeparator" w:id="0">
    <w:p w:rsidR="009F1EC6" w:rsidRDefault="009F1EC6" w:rsidP="009F1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EUAlbertina">
    <w:charset w:val="EE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C6" w:rsidRDefault="00484C37">
    <w:pPr>
      <w:pStyle w:val="Stopka"/>
      <w:pBdr>
        <w:top w:val="single" w:sz="4" w:space="1" w:color="00000A"/>
      </w:pBdr>
      <w:jc w:val="right"/>
    </w:pPr>
    <w:r>
      <w:rPr>
        <w:rFonts w:ascii="Arial" w:hAnsi="Arial" w:cs="Arial"/>
        <w:sz w:val="20"/>
        <w:szCs w:val="20"/>
      </w:rPr>
      <w:t xml:space="preserve">Strona </w:t>
    </w:r>
    <w:r w:rsidR="009F1EC6" w:rsidRPr="009F1EC6">
      <w:rPr>
        <w:rFonts w:ascii="Arial" w:hAnsi="Arial" w:cs="Arial"/>
        <w:sz w:val="20"/>
        <w:szCs w:val="20"/>
      </w:rPr>
      <w:fldChar w:fldCharType="begin"/>
    </w:r>
    <w:r>
      <w:instrText>PAGE</w:instrText>
    </w:r>
    <w:r w:rsidR="009F1EC6">
      <w:fldChar w:fldCharType="separate"/>
    </w:r>
    <w:r>
      <w:rPr>
        <w:noProof/>
      </w:rPr>
      <w:t>7</w:t>
    </w:r>
    <w:r w:rsidR="009F1EC6">
      <w:fldChar w:fldCharType="end"/>
    </w:r>
    <w:r>
      <w:rPr>
        <w:rFonts w:ascii="Arial" w:hAnsi="Arial" w:cs="Arial"/>
        <w:sz w:val="20"/>
        <w:szCs w:val="20"/>
      </w:rPr>
      <w:t xml:space="preserve"> z </w:t>
    </w:r>
    <w:r w:rsidR="009F1EC6" w:rsidRPr="009F1EC6">
      <w:rPr>
        <w:rFonts w:ascii="Arial" w:hAnsi="Arial" w:cs="Arial"/>
        <w:sz w:val="20"/>
        <w:szCs w:val="20"/>
      </w:rPr>
      <w:fldChar w:fldCharType="begin"/>
    </w:r>
    <w:r>
      <w:instrText>NUMPAGES</w:instrText>
    </w:r>
    <w:r w:rsidR="009F1EC6">
      <w:fldChar w:fldCharType="separate"/>
    </w:r>
    <w:r>
      <w:rPr>
        <w:noProof/>
      </w:rPr>
      <w:t>7</w:t>
    </w:r>
    <w:r w:rsidR="009F1EC6">
      <w:fldChar w:fldCharType="end"/>
    </w:r>
  </w:p>
  <w:p w:rsidR="009F1EC6" w:rsidRDefault="009F1EC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EC6" w:rsidRDefault="009F1EC6" w:rsidP="009F1EC6">
      <w:pPr>
        <w:spacing w:after="0" w:line="240" w:lineRule="auto"/>
      </w:pPr>
      <w:r>
        <w:separator/>
      </w:r>
    </w:p>
  </w:footnote>
  <w:footnote w:type="continuationSeparator" w:id="0">
    <w:p w:rsidR="009F1EC6" w:rsidRDefault="009F1EC6" w:rsidP="009F1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C6" w:rsidRDefault="00484C37">
    <w:pPr>
      <w:pStyle w:val="Gwka"/>
      <w:tabs>
        <w:tab w:val="left" w:pos="3525"/>
      </w:tabs>
      <w:rPr>
        <w:rFonts w:ascii="Arial" w:hAnsi="Arial" w:cs="Arial"/>
        <w:b/>
        <w:sz w:val="4"/>
        <w:szCs w:val="4"/>
        <w:u w:val="single"/>
      </w:rPr>
    </w:pPr>
    <w:r>
      <w:rPr>
        <w:rFonts w:ascii="Arial" w:hAnsi="Arial" w:cs="Arial"/>
        <w:b/>
        <w:u w:val="single"/>
      </w:rPr>
      <w:t>KARTA   CHARAKTERYSTYKI</w:t>
    </w:r>
  </w:p>
  <w:p w:rsidR="009F1EC6" w:rsidRDefault="009F1EC6">
    <w:pPr>
      <w:pStyle w:val="Gwka"/>
      <w:tabs>
        <w:tab w:val="left" w:pos="3525"/>
      </w:tabs>
      <w:rPr>
        <w:rFonts w:ascii="Arial" w:hAnsi="Arial" w:cs="Arial"/>
        <w:b/>
        <w:sz w:val="4"/>
        <w:szCs w:val="4"/>
        <w:u w:val="single"/>
      </w:rPr>
    </w:pPr>
  </w:p>
  <w:p w:rsidR="009F1EC6" w:rsidRDefault="009F1EC6">
    <w:pPr>
      <w:pStyle w:val="Gwka"/>
      <w:tabs>
        <w:tab w:val="left" w:pos="3525"/>
      </w:tabs>
      <w:rPr>
        <w:rFonts w:ascii="Arial" w:hAnsi="Arial" w:cs="Arial"/>
        <w:b/>
        <w:sz w:val="4"/>
        <w:szCs w:val="4"/>
        <w:u w:val="single"/>
      </w:rPr>
    </w:pPr>
  </w:p>
  <w:p w:rsidR="009F1EC6" w:rsidRDefault="009F1EC6">
    <w:pPr>
      <w:pStyle w:val="Gwka"/>
      <w:tabs>
        <w:tab w:val="left" w:pos="3525"/>
      </w:tabs>
      <w:rPr>
        <w:rFonts w:ascii="Arial" w:hAnsi="Arial" w:cs="Arial"/>
        <w:b/>
        <w:sz w:val="4"/>
        <w:szCs w:val="4"/>
        <w:u w:val="single"/>
      </w:rPr>
    </w:pPr>
  </w:p>
  <w:p w:rsidR="009F1EC6" w:rsidRDefault="00484C37">
    <w:pPr>
      <w:pStyle w:val="Gwka"/>
      <w:jc w:val="center"/>
      <w:rPr>
        <w:rFonts w:ascii="Arial" w:hAnsi="Arial" w:cs="Arial"/>
        <w:b/>
        <w:bCs/>
        <w:i/>
        <w:sz w:val="26"/>
        <w:szCs w:val="26"/>
      </w:rPr>
    </w:pPr>
    <w:r>
      <w:rPr>
        <w:rFonts w:ascii="Arial" w:hAnsi="Arial" w:cs="Arial"/>
        <w:b/>
        <w:i/>
        <w:sz w:val="26"/>
        <w:szCs w:val="26"/>
      </w:rPr>
      <w:t>MAXKLINKIER</w:t>
    </w:r>
  </w:p>
  <w:p w:rsidR="009F1EC6" w:rsidRDefault="00484C37">
    <w:pPr>
      <w:pStyle w:val="Gwka"/>
      <w:pBdr>
        <w:bottom w:val="single" w:sz="4" w:space="1" w:color="00000A"/>
      </w:pBdr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sz w:val="18"/>
        <w:szCs w:val="18"/>
        <w:u w:val="single"/>
      </w:rPr>
      <w:t>Data wydania 01.01.2013</w:t>
    </w:r>
    <w:r>
      <w:rPr>
        <w:rFonts w:ascii="Arial" w:hAnsi="Arial" w:cs="Arial"/>
        <w:sz w:val="18"/>
        <w:szCs w:val="18"/>
        <w:u w:val="single"/>
      </w:rPr>
      <w:tab/>
      <w:t xml:space="preserve">                                                                    </w:t>
    </w:r>
    <w:r>
      <w:rPr>
        <w:rFonts w:ascii="Arial" w:hAnsi="Arial" w:cs="Arial"/>
        <w:sz w:val="18"/>
        <w:szCs w:val="18"/>
        <w:u w:val="single"/>
      </w:rPr>
      <w:tab/>
      <w:t xml:space="preserve">    Data aktualizacji: 18.01.2016</w:t>
    </w:r>
  </w:p>
  <w:p w:rsidR="009F1EC6" w:rsidRDefault="00484C37">
    <w:pPr>
      <w:pStyle w:val="Gwka"/>
      <w:pBdr>
        <w:bottom w:val="single" w:sz="4" w:space="1" w:color="00000A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Wersja PL:3.0</w:t>
    </w:r>
  </w:p>
  <w:p w:rsidR="009F1EC6" w:rsidRDefault="00484C37">
    <w:pPr>
      <w:pStyle w:val="LeftBold"/>
      <w:pBdr>
        <w:bottom w:val="single" w:sz="4" w:space="1" w:color="00000A"/>
      </w:pBdr>
      <w:jc w:val="center"/>
      <w:rPr>
        <w:rFonts w:ascii="Arial" w:hAnsi="Arial" w:cs="Arial"/>
        <w:i/>
        <w:sz w:val="8"/>
        <w:szCs w:val="8"/>
        <w:lang w:val="pl-PL"/>
      </w:rPr>
    </w:pPr>
    <w:r>
      <w:rPr>
        <w:rFonts w:ascii="Arial" w:hAnsi="Arial" w:cs="Arial"/>
        <w:i/>
        <w:sz w:val="16"/>
        <w:szCs w:val="16"/>
        <w:lang w:val="pl-PL"/>
      </w:rPr>
      <w:t xml:space="preserve">Karta </w:t>
    </w:r>
    <w:r>
      <w:rPr>
        <w:rFonts w:ascii="Arial" w:hAnsi="Arial" w:cs="Arial"/>
        <w:i/>
        <w:sz w:val="16"/>
        <w:szCs w:val="16"/>
        <w:lang w:val="pl-PL"/>
      </w:rPr>
      <w:t>Charakterystyki jest zgodna z Rozporządzeniem Komisji UE  2015/830 z dnia 28.05.2015r ..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E3BBC"/>
    <w:multiLevelType w:val="multilevel"/>
    <w:tmpl w:val="AD4A72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073DF"/>
    <w:multiLevelType w:val="multilevel"/>
    <w:tmpl w:val="16B6A5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A2374CB"/>
    <w:multiLevelType w:val="multilevel"/>
    <w:tmpl w:val="D6AC0F1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EC6"/>
    <w:rsid w:val="00484C37"/>
    <w:rsid w:val="009F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33B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qFormat/>
    <w:rsid w:val="00B8633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B8633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E5388"/>
  </w:style>
  <w:style w:type="character" w:customStyle="1" w:styleId="StopkaZnak">
    <w:name w:val="Stopka Znak"/>
    <w:basedOn w:val="Domylnaczcionkaakapitu"/>
    <w:link w:val="Stopka"/>
    <w:uiPriority w:val="99"/>
    <w:qFormat/>
    <w:rsid w:val="006E5388"/>
  </w:style>
  <w:style w:type="character" w:customStyle="1" w:styleId="TekstdymkaZnak">
    <w:name w:val="Tekst dymka Znak"/>
    <w:link w:val="Tekstdymka"/>
    <w:uiPriority w:val="99"/>
    <w:semiHidden/>
    <w:qFormat/>
    <w:rsid w:val="006E538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qFormat/>
    <w:rsid w:val="00B8633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qFormat/>
    <w:rsid w:val="00B8633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czeinternetowe">
    <w:name w:val="Łącze internetowe"/>
    <w:uiPriority w:val="99"/>
    <w:unhideWhenUsed/>
    <w:rsid w:val="00B8633B"/>
    <w:rPr>
      <w:color w:val="0000FF"/>
      <w:u w:val="single"/>
    </w:rPr>
  </w:style>
  <w:style w:type="character" w:customStyle="1" w:styleId="HTMLMarkup">
    <w:name w:val="HTML Markup"/>
    <w:qFormat/>
    <w:rsid w:val="00B8633B"/>
    <w:rPr>
      <w:vanish/>
      <w:color w:val="FF0000"/>
    </w:rPr>
  </w:style>
  <w:style w:type="character" w:customStyle="1" w:styleId="PlandokumentuZnak">
    <w:name w:val="Plan dokumentu Znak"/>
    <w:link w:val="Plandokumentu"/>
    <w:uiPriority w:val="99"/>
    <w:semiHidden/>
    <w:qFormat/>
    <w:rsid w:val="00B8633B"/>
    <w:rPr>
      <w:rFonts w:ascii="Tahoma" w:eastAsia="Calibri" w:hAnsi="Tahoma" w:cs="Tahoma"/>
      <w:sz w:val="16"/>
      <w:szCs w:val="16"/>
    </w:rPr>
  </w:style>
  <w:style w:type="character" w:customStyle="1" w:styleId="BezodstpwZnak">
    <w:name w:val="Bez odstępów Znak"/>
    <w:link w:val="Bezodstpw"/>
    <w:uiPriority w:val="1"/>
    <w:qFormat/>
    <w:locked/>
    <w:rsid w:val="00515DCB"/>
    <w:rPr>
      <w:sz w:val="22"/>
      <w:szCs w:val="22"/>
      <w:lang w:val="pl-PL" w:eastAsia="en-US" w:bidi="ar-SA"/>
    </w:rPr>
  </w:style>
  <w:style w:type="character" w:styleId="Pogrubienie">
    <w:name w:val="Strong"/>
    <w:uiPriority w:val="22"/>
    <w:qFormat/>
    <w:rsid w:val="005903EC"/>
    <w:rPr>
      <w:b/>
      <w:bCs/>
    </w:rPr>
  </w:style>
  <w:style w:type="character" w:customStyle="1" w:styleId="HTML-wstpniesformatowanyZnak">
    <w:name w:val="HTML - wstępnie sformatowany Znak"/>
    <w:uiPriority w:val="99"/>
    <w:semiHidden/>
    <w:qFormat/>
    <w:rsid w:val="00FB5456"/>
    <w:rPr>
      <w:rFonts w:ascii="Courier New" w:eastAsia="Times New Roman" w:hAnsi="Courier New" w:cs="Courier New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DA0775"/>
    <w:rPr>
      <w:lang w:eastAsia="en-US"/>
    </w:rPr>
  </w:style>
  <w:style w:type="character" w:styleId="Odwoanieprzypisukocowego">
    <w:name w:val="endnote reference"/>
    <w:uiPriority w:val="99"/>
    <w:semiHidden/>
    <w:unhideWhenUsed/>
    <w:qFormat/>
    <w:rsid w:val="00DA0775"/>
    <w:rPr>
      <w:vertAlign w:val="superscript"/>
    </w:rPr>
  </w:style>
  <w:style w:type="character" w:customStyle="1" w:styleId="A4">
    <w:name w:val="A4"/>
    <w:uiPriority w:val="99"/>
    <w:qFormat/>
    <w:rsid w:val="00723197"/>
    <w:rPr>
      <w:color w:val="000000"/>
      <w:sz w:val="13"/>
      <w:szCs w:val="13"/>
    </w:rPr>
  </w:style>
  <w:style w:type="character" w:customStyle="1" w:styleId="ListLabel1">
    <w:name w:val="ListLabel 1"/>
    <w:qFormat/>
    <w:rsid w:val="009F1EC6"/>
    <w:rPr>
      <w:rFonts w:cs="Arial"/>
      <w:sz w:val="22"/>
      <w:szCs w:val="22"/>
    </w:rPr>
  </w:style>
  <w:style w:type="character" w:customStyle="1" w:styleId="ListLabel2">
    <w:name w:val="ListLabel 2"/>
    <w:qFormat/>
    <w:rsid w:val="009F1EC6"/>
    <w:rPr>
      <w:rFonts w:cs="Courier New"/>
    </w:rPr>
  </w:style>
  <w:style w:type="character" w:customStyle="1" w:styleId="ListLabel3">
    <w:name w:val="ListLabel 3"/>
    <w:qFormat/>
    <w:rsid w:val="009F1EC6"/>
    <w:rPr>
      <w:rFonts w:eastAsia="Calibri" w:cs="Arial"/>
    </w:rPr>
  </w:style>
  <w:style w:type="paragraph" w:styleId="Nagwek">
    <w:name w:val="header"/>
    <w:basedOn w:val="Normalny"/>
    <w:next w:val="Tretekstu"/>
    <w:link w:val="NagwekZnak"/>
    <w:qFormat/>
    <w:rsid w:val="009F1EC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9F1EC6"/>
    <w:pPr>
      <w:spacing w:after="140" w:line="288" w:lineRule="auto"/>
    </w:pPr>
  </w:style>
  <w:style w:type="paragraph" w:styleId="Lista">
    <w:name w:val="List"/>
    <w:basedOn w:val="Tretekstu"/>
    <w:rsid w:val="009F1EC6"/>
    <w:rPr>
      <w:rFonts w:cs="Arial"/>
    </w:rPr>
  </w:style>
  <w:style w:type="paragraph" w:styleId="Podpis">
    <w:name w:val="Signature"/>
    <w:basedOn w:val="Normalny"/>
    <w:rsid w:val="009F1EC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F1EC6"/>
    <w:pPr>
      <w:suppressLineNumbers/>
    </w:pPr>
    <w:rPr>
      <w:rFonts w:cs="Arial"/>
    </w:rPr>
  </w:style>
  <w:style w:type="paragraph" w:customStyle="1" w:styleId="Gwka">
    <w:name w:val="Główka"/>
    <w:basedOn w:val="Normalny"/>
    <w:link w:val="NagwekZnak"/>
    <w:uiPriority w:val="99"/>
    <w:unhideWhenUsed/>
    <w:rsid w:val="006E5388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link w:val="StopkaZnak"/>
    <w:uiPriority w:val="99"/>
    <w:unhideWhenUsed/>
    <w:rsid w:val="006E5388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E5388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5388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B8633B"/>
    <w:pPr>
      <w:suppressAutoHyphens/>
    </w:pPr>
    <w:rPr>
      <w:sz w:val="22"/>
      <w:szCs w:val="22"/>
      <w:lang w:eastAsia="en-US"/>
    </w:rPr>
  </w:style>
  <w:style w:type="paragraph" w:styleId="Plandokumentu">
    <w:name w:val="Document Map"/>
    <w:basedOn w:val="Normalny"/>
    <w:link w:val="PlandokumentuZnak"/>
    <w:uiPriority w:val="99"/>
    <w:semiHidden/>
    <w:unhideWhenUsed/>
    <w:qFormat/>
    <w:rsid w:val="00B863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LeftBold">
    <w:name w:val="LeftBold"/>
    <w:basedOn w:val="Normalny"/>
    <w:qFormat/>
    <w:rsid w:val="00CF3036"/>
    <w:rPr>
      <w:rFonts w:ascii="Times New Roman" w:eastAsia="Times New Roman" w:hAnsi="Times New Roman"/>
      <w:b/>
      <w:lang w:val="en-US" w:bidi="en-US"/>
    </w:rPr>
  </w:style>
  <w:style w:type="paragraph" w:styleId="HTML-wstpniesformatowany">
    <w:name w:val="HTML Preformatted"/>
    <w:basedOn w:val="Normalny"/>
    <w:uiPriority w:val="99"/>
    <w:semiHidden/>
    <w:unhideWhenUsed/>
    <w:qFormat/>
    <w:rsid w:val="00FB5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MSDS-Zeile">
    <w:name w:val="MSDS-Zeile"/>
    <w:basedOn w:val="Normalny"/>
    <w:qFormat/>
    <w:rsid w:val="00BF4810"/>
    <w:pPr>
      <w:widowControl w:val="0"/>
      <w:tabs>
        <w:tab w:val="left" w:pos="3119"/>
        <w:tab w:val="left" w:pos="3402"/>
        <w:tab w:val="left" w:pos="4678"/>
        <w:tab w:val="left" w:pos="4962"/>
      </w:tabs>
      <w:spacing w:after="0" w:line="240" w:lineRule="auto"/>
      <w:ind w:left="425"/>
    </w:pPr>
    <w:rPr>
      <w:rFonts w:ascii="Times New Roman" w:eastAsia="Times New Roman" w:hAnsi="Times New Roman"/>
      <w:sz w:val="20"/>
      <w:szCs w:val="20"/>
      <w:lang w:val="de-DE" w:eastAsia="ja-JP"/>
    </w:rPr>
  </w:style>
  <w:style w:type="paragraph" w:customStyle="1" w:styleId="MSDS-TZeile">
    <w:name w:val="MSDS-TZeile"/>
    <w:basedOn w:val="Normalny"/>
    <w:qFormat/>
    <w:rsid w:val="007805F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0775"/>
    <w:rPr>
      <w:sz w:val="20"/>
      <w:szCs w:val="20"/>
    </w:rPr>
  </w:style>
  <w:style w:type="paragraph" w:customStyle="1" w:styleId="CM4">
    <w:name w:val="CM4"/>
    <w:basedOn w:val="Normalny"/>
    <w:uiPriority w:val="99"/>
    <w:qFormat/>
    <w:rsid w:val="002757EE"/>
    <w:pPr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qFormat/>
    <w:rsid w:val="002757EE"/>
    <w:pPr>
      <w:suppressAutoHyphens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10C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pin-doradzt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DEA16-ABCC-4D24-ADCC-71A2B2C8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2381</Words>
  <Characters>14287</Characters>
  <Application>Microsoft Office Word</Application>
  <DocSecurity>0</DocSecurity>
  <Lines>119</Lines>
  <Paragraphs>33</Paragraphs>
  <ScaleCrop>false</ScaleCrop>
  <Company>TOSHIBA</Company>
  <LinksUpToDate>false</LinksUpToDate>
  <CharactersWithSpaces>16635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Zmorka</dc:creator>
  <cp:lastModifiedBy>Admin</cp:lastModifiedBy>
  <cp:revision>5</cp:revision>
  <dcterms:created xsi:type="dcterms:W3CDTF">2016-07-12T08:08:00Z</dcterms:created>
  <dcterms:modified xsi:type="dcterms:W3CDTF">2016-07-20T10:49:00Z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